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4A4" w14:textId="701D3D04" w:rsidR="003F6B42" w:rsidRDefault="00870BF8" w:rsidP="003F6B42">
      <w:pPr>
        <w:rPr>
          <w:b/>
          <w:bCs/>
        </w:rPr>
      </w:pPr>
      <w:r>
        <w:rPr>
          <w:b/>
          <w:bCs/>
        </w:rPr>
        <w:t xml:space="preserve">ACCEPTABILITY, </w:t>
      </w:r>
      <w:r w:rsidRPr="003F6B42">
        <w:rPr>
          <w:b/>
          <w:bCs/>
        </w:rPr>
        <w:t xml:space="preserve">FEASIBILITY AND </w:t>
      </w:r>
      <w:r>
        <w:rPr>
          <w:b/>
          <w:bCs/>
        </w:rPr>
        <w:t>FIDELITY</w:t>
      </w:r>
      <w:r w:rsidRPr="003F6B42">
        <w:rPr>
          <w:b/>
          <w:bCs/>
        </w:rPr>
        <w:t xml:space="preserve"> OF PROBLEM MANAGEMENT PLUS (PM+) FOR </w:t>
      </w:r>
      <w:r>
        <w:rPr>
          <w:b/>
          <w:bCs/>
        </w:rPr>
        <w:t xml:space="preserve">PREGNANT AND </w:t>
      </w:r>
      <w:r w:rsidRPr="003F6B42">
        <w:rPr>
          <w:b/>
          <w:bCs/>
        </w:rPr>
        <w:t>POSTPARTUM WOMEN LIVING WITH HIV IN A RESOURCE-LIMITED SETTING</w:t>
      </w:r>
    </w:p>
    <w:p w14:paraId="40E8C08B" w14:textId="77777777" w:rsidR="00870BF8" w:rsidRDefault="00870BF8" w:rsidP="00870BF8">
      <w:pPr>
        <w:rPr>
          <w:b/>
        </w:rPr>
      </w:pPr>
    </w:p>
    <w:p w14:paraId="618280A4" w14:textId="2FE8F190" w:rsidR="00870BF8" w:rsidRPr="007D0616" w:rsidRDefault="00870BF8" w:rsidP="00870BF8">
      <w:pPr>
        <w:rPr>
          <w:rFonts w:cstheme="minorHAnsi"/>
        </w:rPr>
      </w:pPr>
      <w:r w:rsidRPr="007D0616">
        <w:rPr>
          <w:rFonts w:cstheme="minorHAnsi"/>
          <w:b/>
        </w:rPr>
        <w:t>Authors:</w:t>
      </w:r>
      <w:r w:rsidRPr="007D0616">
        <w:rPr>
          <w:rFonts w:cstheme="minorHAnsi"/>
        </w:rPr>
        <w:t xml:space="preserve"> </w:t>
      </w:r>
      <w:proofErr w:type="spellStart"/>
      <w:r w:rsidRPr="007D0616">
        <w:rPr>
          <w:rFonts w:cstheme="minorHAnsi"/>
          <w:b/>
        </w:rPr>
        <w:t>Mercelline</w:t>
      </w:r>
      <w:proofErr w:type="spellEnd"/>
      <w:r w:rsidRPr="007D0616">
        <w:rPr>
          <w:rFonts w:cstheme="minorHAnsi"/>
          <w:b/>
        </w:rPr>
        <w:t xml:space="preserve"> Ogolla-Onyando</w:t>
      </w:r>
      <w:r w:rsidRPr="007D0616">
        <w:rPr>
          <w:rFonts w:cstheme="minorHAnsi"/>
          <w:b/>
          <w:vertAlign w:val="superscript"/>
        </w:rPr>
        <w:t>1</w:t>
      </w:r>
      <w:r w:rsidRPr="007D0616">
        <w:rPr>
          <w:rFonts w:cstheme="minorHAnsi"/>
        </w:rPr>
        <w:t>, George Otieno</w:t>
      </w:r>
      <w:r w:rsidRPr="007D0616">
        <w:rPr>
          <w:rFonts w:cstheme="minorHAnsi"/>
          <w:vertAlign w:val="superscript"/>
        </w:rPr>
        <w:t>1</w:t>
      </w:r>
      <w:r w:rsidRPr="007D0616">
        <w:rPr>
          <w:rFonts w:cstheme="minorHAnsi"/>
        </w:rPr>
        <w:t xml:space="preserve">, </w:t>
      </w:r>
      <w:r w:rsidR="008D40D9" w:rsidRPr="007D0616">
        <w:rPr>
          <w:rFonts w:eastAsia="Arial" w:cstheme="minorHAnsi"/>
        </w:rPr>
        <w:t>Emma Ouma</w:t>
      </w:r>
      <w:r w:rsidR="008D40D9" w:rsidRPr="007D0616">
        <w:rPr>
          <w:rFonts w:eastAsia="Arial" w:cstheme="minorHAnsi"/>
          <w:vertAlign w:val="superscript"/>
        </w:rPr>
        <w:t>1</w:t>
      </w:r>
      <w:r w:rsidR="008D40D9" w:rsidRPr="007D0616">
        <w:rPr>
          <w:rFonts w:eastAsia="Arial" w:cstheme="minorHAnsi"/>
        </w:rPr>
        <w:t>, Laura Beres</w:t>
      </w:r>
      <w:r w:rsidR="00316AEA" w:rsidRPr="007D0616">
        <w:rPr>
          <w:rFonts w:eastAsia="Arial" w:cstheme="minorHAnsi"/>
          <w:vertAlign w:val="superscript"/>
        </w:rPr>
        <w:t>2</w:t>
      </w:r>
      <w:r w:rsidR="008D40D9" w:rsidRPr="007D0616">
        <w:rPr>
          <w:rFonts w:eastAsia="Arial" w:cstheme="minorHAnsi"/>
        </w:rPr>
        <w:t>,</w:t>
      </w:r>
      <w:r w:rsidR="00316AEA" w:rsidRPr="007D0616">
        <w:rPr>
          <w:rFonts w:eastAsia="Arial" w:cstheme="minorHAnsi"/>
        </w:rPr>
        <w:t xml:space="preserve"> </w:t>
      </w:r>
      <w:r w:rsidR="00316AEA" w:rsidRPr="007D0616">
        <w:rPr>
          <w:rFonts w:eastAsia="Arial" w:cstheme="minorHAnsi"/>
        </w:rPr>
        <w:t xml:space="preserve">Rabbia </w:t>
      </w:r>
      <w:r w:rsidR="00316AEA" w:rsidRPr="007D0616">
        <w:rPr>
          <w:rFonts w:eastAsia="Arial" w:cstheme="minorHAnsi"/>
        </w:rPr>
        <w:t>Imran</w:t>
      </w:r>
      <w:r w:rsidR="00316AEA" w:rsidRPr="007D0616">
        <w:rPr>
          <w:rFonts w:eastAsia="Arial" w:cstheme="minorHAnsi"/>
          <w:vertAlign w:val="superscript"/>
        </w:rPr>
        <w:t>3</w:t>
      </w:r>
      <w:r w:rsidR="00316AEA" w:rsidRPr="007D0616">
        <w:rPr>
          <w:rFonts w:eastAsia="Arial" w:cstheme="minorHAnsi"/>
        </w:rPr>
        <w:t>,</w:t>
      </w:r>
      <w:r w:rsidR="0030779C">
        <w:rPr>
          <w:rFonts w:eastAsia="Arial" w:cstheme="minorHAnsi"/>
        </w:rPr>
        <w:t xml:space="preserve"> </w:t>
      </w:r>
      <w:r w:rsidR="008D40D9" w:rsidRPr="007D0616">
        <w:rPr>
          <w:rFonts w:eastAsia="Arial" w:cstheme="minorHAnsi"/>
        </w:rPr>
        <w:t xml:space="preserve">Anna </w:t>
      </w:r>
      <w:proofErr w:type="spellStart"/>
      <w:r w:rsidR="008D40D9" w:rsidRPr="007D0616">
        <w:rPr>
          <w:rFonts w:eastAsia="Arial" w:cstheme="minorHAnsi"/>
        </w:rPr>
        <w:t>Helova</w:t>
      </w:r>
      <w:proofErr w:type="spellEnd"/>
      <w:r w:rsidR="00316AEA" w:rsidRPr="007D0616">
        <w:rPr>
          <w:rFonts w:eastAsia="Arial" w:cstheme="minorHAnsi"/>
        </w:rPr>
        <w:t xml:space="preserve"> </w:t>
      </w:r>
      <w:r w:rsidR="00316AEA" w:rsidRPr="007D0616">
        <w:rPr>
          <w:rFonts w:eastAsia="Arial" w:cstheme="minorHAnsi"/>
          <w:vertAlign w:val="superscript"/>
        </w:rPr>
        <w:t>4,5</w:t>
      </w:r>
      <w:r w:rsidR="00316AEA" w:rsidRPr="007D0616">
        <w:rPr>
          <w:rFonts w:eastAsia="Arial" w:cstheme="minorHAnsi"/>
        </w:rPr>
        <w:t>,</w:t>
      </w:r>
      <w:r w:rsidR="008D40D9" w:rsidRPr="007D0616">
        <w:rPr>
          <w:rFonts w:eastAsia="Arial" w:cstheme="minorHAnsi"/>
        </w:rPr>
        <w:t xml:space="preserve"> Karen Hampanda</w:t>
      </w:r>
      <w:r w:rsidR="00316AEA" w:rsidRPr="007D0616">
        <w:rPr>
          <w:rFonts w:eastAsia="Arial" w:cstheme="minorHAnsi"/>
          <w:vertAlign w:val="superscript"/>
        </w:rPr>
        <w:t>6</w:t>
      </w:r>
      <w:r w:rsidR="008D40D9" w:rsidRPr="007D0616">
        <w:rPr>
          <w:rFonts w:eastAsia="Arial" w:cstheme="minorHAnsi"/>
        </w:rPr>
        <w:t>, Kevin Owuor</w:t>
      </w:r>
      <w:r w:rsidR="00316AEA" w:rsidRPr="007D0616">
        <w:rPr>
          <w:rFonts w:eastAsia="Arial" w:cstheme="minorHAnsi"/>
          <w:vertAlign w:val="superscript"/>
        </w:rPr>
        <w:t>5,7</w:t>
      </w:r>
      <w:r w:rsidR="008D40D9" w:rsidRPr="007D0616">
        <w:rPr>
          <w:rFonts w:eastAsia="Arial" w:cstheme="minorHAnsi"/>
        </w:rPr>
        <w:t>,</w:t>
      </w:r>
      <w:r w:rsidR="007D0616" w:rsidRPr="007D0616">
        <w:rPr>
          <w:rFonts w:eastAsia="Arial" w:cstheme="minorHAnsi"/>
        </w:rPr>
        <w:t xml:space="preserve"> </w:t>
      </w:r>
      <w:r w:rsidR="00316AEA" w:rsidRPr="007D0616">
        <w:rPr>
          <w:rFonts w:eastAsia="Arial" w:cstheme="minorHAnsi"/>
        </w:rPr>
        <w:t xml:space="preserve">Linet Ongeri </w:t>
      </w:r>
      <w:r w:rsidR="00316AEA" w:rsidRPr="007D0616">
        <w:rPr>
          <w:rFonts w:eastAsia="Arial" w:cstheme="minorHAnsi"/>
          <w:vertAlign w:val="superscript"/>
        </w:rPr>
        <w:t>8</w:t>
      </w:r>
      <w:r w:rsidR="007D0616" w:rsidRPr="007D0616">
        <w:rPr>
          <w:rFonts w:eastAsia="Arial" w:cstheme="minorHAnsi"/>
        </w:rPr>
        <w:t>,</w:t>
      </w:r>
      <w:r w:rsidR="0030779C">
        <w:rPr>
          <w:rFonts w:eastAsia="Arial" w:cstheme="minorHAnsi"/>
        </w:rPr>
        <w:t xml:space="preserve"> </w:t>
      </w:r>
      <w:r w:rsidR="00316AEA" w:rsidRPr="007D0616">
        <w:rPr>
          <w:rFonts w:cstheme="minorHAnsi"/>
        </w:rPr>
        <w:t>Janet Turan</w:t>
      </w:r>
      <w:r w:rsidR="00316AEA" w:rsidRPr="007D0616">
        <w:rPr>
          <w:rFonts w:cstheme="minorHAnsi"/>
          <w:vertAlign w:val="superscript"/>
        </w:rPr>
        <w:t>4,5</w:t>
      </w:r>
      <w:r w:rsidR="00316AEA" w:rsidRPr="007D0616">
        <w:rPr>
          <w:rFonts w:cstheme="minorHAnsi"/>
        </w:rPr>
        <w:t xml:space="preserve">, </w:t>
      </w:r>
      <w:r w:rsidR="00316AEA" w:rsidRPr="007D0616">
        <w:rPr>
          <w:rFonts w:eastAsia="Arial" w:cstheme="minorHAnsi"/>
        </w:rPr>
        <w:t xml:space="preserve">Lisa L </w:t>
      </w:r>
      <w:r w:rsidR="007D0616" w:rsidRPr="007D0616">
        <w:rPr>
          <w:rFonts w:eastAsia="Arial" w:cstheme="minorHAnsi"/>
        </w:rPr>
        <w:t>Abuogi</w:t>
      </w:r>
      <w:r w:rsidR="007D0616" w:rsidRPr="007D0616">
        <w:rPr>
          <w:rFonts w:eastAsia="Arial" w:cstheme="minorHAnsi"/>
          <w:vertAlign w:val="superscript"/>
        </w:rPr>
        <w:t>9</w:t>
      </w:r>
      <w:r w:rsidR="00316AEA" w:rsidRPr="007D0616">
        <w:rPr>
          <w:rFonts w:eastAsia="Arial" w:cstheme="minorHAnsi"/>
          <w:vertAlign w:val="superscript"/>
        </w:rPr>
        <w:t xml:space="preserve">, </w:t>
      </w:r>
      <w:proofErr w:type="spellStart"/>
      <w:r w:rsidR="008D40D9" w:rsidRPr="007D0616">
        <w:rPr>
          <w:rFonts w:cstheme="minorHAnsi"/>
        </w:rPr>
        <w:t>Maricianah</w:t>
      </w:r>
      <w:proofErr w:type="spellEnd"/>
      <w:r w:rsidR="008D40D9" w:rsidRPr="007D0616">
        <w:rPr>
          <w:rFonts w:cstheme="minorHAnsi"/>
        </w:rPr>
        <w:t xml:space="preserve"> Onono</w:t>
      </w:r>
      <w:r w:rsidR="008D40D9" w:rsidRPr="007D0616">
        <w:rPr>
          <w:rFonts w:cstheme="minorHAnsi"/>
          <w:vertAlign w:val="superscript"/>
        </w:rPr>
        <w:t>1</w:t>
      </w:r>
    </w:p>
    <w:p w14:paraId="668E00F9" w14:textId="77777777" w:rsidR="00870BF8" w:rsidRPr="0095586E" w:rsidRDefault="00870BF8" w:rsidP="00870BF8"/>
    <w:p w14:paraId="219A831B" w14:textId="77777777" w:rsidR="00870BF8" w:rsidRPr="0095586E" w:rsidRDefault="00870BF8" w:rsidP="00870BF8">
      <w:pPr>
        <w:pStyle w:val="NormalWeb"/>
        <w:jc w:val="both"/>
        <w:rPr>
          <w:rStyle w:val="Heading2Char"/>
          <w:rFonts w:asciiTheme="minorHAnsi" w:hAnsiTheme="minorHAnsi" w:cstheme="minorHAnsi"/>
          <w:b/>
          <w:color w:val="auto"/>
          <w:sz w:val="24"/>
          <w:szCs w:val="24"/>
        </w:rPr>
      </w:pPr>
      <w:r w:rsidRPr="0095586E">
        <w:rPr>
          <w:rStyle w:val="Heading2Char"/>
          <w:rFonts w:asciiTheme="minorHAnsi" w:hAnsiTheme="minorHAnsi" w:cstheme="minorHAnsi"/>
          <w:b/>
          <w:color w:val="auto"/>
          <w:sz w:val="24"/>
          <w:szCs w:val="24"/>
        </w:rPr>
        <w:t xml:space="preserve">Affiliations: </w:t>
      </w:r>
    </w:p>
    <w:p w14:paraId="3FA45F6D" w14:textId="77777777" w:rsidR="00870BF8" w:rsidRDefault="00870BF8" w:rsidP="00870BF8">
      <w:pPr>
        <w:spacing w:line="240" w:lineRule="auto"/>
        <w:rPr>
          <w:rFonts w:ascii="Calibri" w:eastAsia="Arial" w:hAnsi="Calibri" w:cs="Calibri"/>
        </w:rPr>
      </w:pPr>
      <w:r w:rsidRPr="0095586E">
        <w:rPr>
          <w:rFonts w:ascii="Calibri" w:eastAsia="Arial" w:hAnsi="Calibri" w:cs="Calibri"/>
          <w:vertAlign w:val="superscript"/>
        </w:rPr>
        <w:t>1</w:t>
      </w:r>
      <w:r w:rsidRPr="0095586E">
        <w:rPr>
          <w:rFonts w:ascii="Calibri" w:eastAsia="Arial" w:hAnsi="Calibri" w:cs="Calibri"/>
        </w:rPr>
        <w:t xml:space="preserve">Centre for Microbiology Research, Kenya Medical Research Institute, Nairobi, Kenya </w:t>
      </w:r>
    </w:p>
    <w:p w14:paraId="1122EBBD" w14:textId="09C5FC1B" w:rsidR="00316AEA" w:rsidRPr="007D0616" w:rsidRDefault="00316AEA" w:rsidP="00316AEA">
      <w:pPr>
        <w:rPr>
          <w:rFonts w:eastAsia="Arial" w:cstheme="minorHAnsi"/>
        </w:rPr>
      </w:pPr>
      <w:r w:rsidRPr="007D0616">
        <w:rPr>
          <w:rFonts w:eastAsia="Arial" w:cstheme="minorHAnsi"/>
          <w:vertAlign w:val="superscript"/>
        </w:rPr>
        <w:t>2</w:t>
      </w:r>
      <w:r w:rsidRPr="007D0616">
        <w:rPr>
          <w:rFonts w:eastAsia="Arial" w:cstheme="minorHAnsi"/>
        </w:rPr>
        <w:t>Department of International Health, Johns Hopkins Bloomberg School of Public Health, 615 N. Wolfe Street, Baltimore, 21205, Maryland, United States</w:t>
      </w:r>
    </w:p>
    <w:p w14:paraId="67AB581C" w14:textId="74C3007A" w:rsidR="00316AEA" w:rsidRPr="007D0616" w:rsidRDefault="00316AEA" w:rsidP="00316AEA">
      <w:pPr>
        <w:rPr>
          <w:rFonts w:eastAsia="Arial" w:cstheme="minorHAnsi"/>
          <w:vertAlign w:val="superscript"/>
        </w:rPr>
      </w:pPr>
      <w:r w:rsidRPr="007D0616">
        <w:rPr>
          <w:rFonts w:eastAsia="Arial" w:cstheme="minorHAnsi"/>
          <w:vertAlign w:val="superscript"/>
        </w:rPr>
        <w:t>3</w:t>
      </w:r>
      <w:r w:rsidRPr="007D0616">
        <w:rPr>
          <w:rFonts w:eastAsia="Arial" w:cstheme="minorHAnsi"/>
        </w:rPr>
        <w:t xml:space="preserve">Department of </w:t>
      </w:r>
      <w:proofErr w:type="spellStart"/>
      <w:r w:rsidRPr="007D0616">
        <w:rPr>
          <w:rFonts w:eastAsia="Arial" w:cstheme="minorHAnsi"/>
        </w:rPr>
        <w:t>Pediatrics</w:t>
      </w:r>
      <w:proofErr w:type="spellEnd"/>
      <w:r w:rsidRPr="007D0616">
        <w:rPr>
          <w:rFonts w:eastAsia="Arial" w:cstheme="minorHAnsi"/>
        </w:rPr>
        <w:t>, School of Medicine, University of Colorado Denver, 13123 East 16th Avenue Box 055, Aurora, 80045, Colorado, United States</w:t>
      </w:r>
    </w:p>
    <w:p w14:paraId="128DEFA6" w14:textId="77777777" w:rsidR="00316AEA" w:rsidRPr="007D0616" w:rsidRDefault="00316AEA" w:rsidP="00316AEA">
      <w:pPr>
        <w:rPr>
          <w:rFonts w:eastAsia="Arial" w:cstheme="minorHAnsi"/>
        </w:rPr>
      </w:pPr>
      <w:r w:rsidRPr="007D0616">
        <w:rPr>
          <w:rFonts w:eastAsia="Arial" w:cstheme="minorHAnsi"/>
          <w:vertAlign w:val="superscript"/>
        </w:rPr>
        <w:t>4</w:t>
      </w:r>
      <w:r w:rsidRPr="007D0616">
        <w:rPr>
          <w:rFonts w:eastAsia="Arial" w:cstheme="minorHAnsi"/>
        </w:rPr>
        <w:t>Department of Health Policy and Organization, School of Public Health, The University of Alabama at Birmingham, 1665 University Blvd, Birmingham, 35233, Alabama, United States</w:t>
      </w:r>
    </w:p>
    <w:p w14:paraId="6A2F78B0" w14:textId="77777777" w:rsidR="00316AEA" w:rsidRPr="007D0616" w:rsidRDefault="00316AEA" w:rsidP="00316AEA">
      <w:pPr>
        <w:rPr>
          <w:rFonts w:eastAsia="Arial" w:cstheme="minorHAnsi"/>
        </w:rPr>
      </w:pPr>
      <w:r w:rsidRPr="007D0616">
        <w:rPr>
          <w:rFonts w:eastAsia="Arial" w:cstheme="minorHAnsi"/>
          <w:vertAlign w:val="superscript"/>
        </w:rPr>
        <w:t>5</w:t>
      </w:r>
      <w:r w:rsidRPr="007D0616">
        <w:rPr>
          <w:rFonts w:eastAsia="Arial" w:cstheme="minorHAnsi"/>
        </w:rPr>
        <w:t xml:space="preserve">Sparkman </w:t>
      </w:r>
      <w:proofErr w:type="spellStart"/>
      <w:r w:rsidRPr="007D0616">
        <w:rPr>
          <w:rFonts w:eastAsia="Arial" w:cstheme="minorHAnsi"/>
        </w:rPr>
        <w:t>Center</w:t>
      </w:r>
      <w:proofErr w:type="spellEnd"/>
      <w:r w:rsidRPr="007D0616">
        <w:rPr>
          <w:rFonts w:eastAsia="Arial" w:cstheme="minorHAnsi"/>
        </w:rPr>
        <w:t xml:space="preserve"> for Global Health, School of Public Health, The University of Alabama at Birmingham, 1665 University Blvd, Birmingham, 35233, Alabama, United States</w:t>
      </w:r>
    </w:p>
    <w:p w14:paraId="042A6CE0" w14:textId="2F1A9401" w:rsidR="00316AEA" w:rsidRPr="007D0616" w:rsidRDefault="00316AEA" w:rsidP="00316AEA">
      <w:pPr>
        <w:rPr>
          <w:rFonts w:eastAsia="Arial" w:cstheme="minorHAnsi"/>
          <w:vertAlign w:val="superscript"/>
        </w:rPr>
      </w:pPr>
      <w:r w:rsidRPr="007D0616">
        <w:rPr>
          <w:rFonts w:eastAsia="Arial" w:cstheme="minorHAnsi"/>
          <w:vertAlign w:val="superscript"/>
        </w:rPr>
        <w:t>6</w:t>
      </w:r>
      <w:r w:rsidRPr="007D0616">
        <w:rPr>
          <w:rFonts w:eastAsia="Arial" w:cstheme="minorHAnsi"/>
        </w:rPr>
        <w:t>Department of OB-GYN-Gyn &amp; OB Health, School of Medicine, University of Colorado Denver, 13199 E. Montview Blvd., Suite 310, A090, 80045, Aurora, Colorado, United States</w:t>
      </w:r>
    </w:p>
    <w:p w14:paraId="4AD741FF" w14:textId="297BBA4B" w:rsidR="00316AEA" w:rsidRPr="007D0616" w:rsidRDefault="00316AEA" w:rsidP="00316AEA">
      <w:pPr>
        <w:rPr>
          <w:rFonts w:eastAsia="Arial" w:cstheme="minorHAnsi"/>
        </w:rPr>
      </w:pPr>
      <w:r w:rsidRPr="007D0616">
        <w:rPr>
          <w:rFonts w:eastAsia="Arial" w:cstheme="minorHAnsi"/>
          <w:vertAlign w:val="superscript"/>
        </w:rPr>
        <w:t>7</w:t>
      </w:r>
      <w:r w:rsidRPr="007D0616">
        <w:rPr>
          <w:rFonts w:eastAsia="Arial" w:cstheme="minorHAnsi"/>
        </w:rPr>
        <w:t>Department of Biostatistics, School of Public Health, The University of Alabama at Birmingham, 1665 University Blvd, Birmingham, 35233, Alabama, United States</w:t>
      </w:r>
    </w:p>
    <w:p w14:paraId="4EB55365" w14:textId="242AF03D" w:rsidR="00316AEA" w:rsidRPr="007D0616" w:rsidRDefault="00316AEA" w:rsidP="00316AEA">
      <w:pPr>
        <w:rPr>
          <w:rFonts w:eastAsia="Arial" w:cstheme="minorHAnsi"/>
        </w:rPr>
      </w:pPr>
      <w:r w:rsidRPr="007D0616">
        <w:rPr>
          <w:rFonts w:eastAsia="Arial" w:cstheme="minorHAnsi"/>
          <w:vertAlign w:val="superscript"/>
        </w:rPr>
        <w:t>8</w:t>
      </w:r>
      <w:r w:rsidRPr="007D0616">
        <w:rPr>
          <w:rFonts w:eastAsia="Arial" w:cstheme="minorHAnsi"/>
        </w:rPr>
        <w:t xml:space="preserve">Centre for Clinical Research, Kenya Medical Research Institute, </w:t>
      </w:r>
      <w:proofErr w:type="spellStart"/>
      <w:r w:rsidRPr="007D0616">
        <w:rPr>
          <w:rFonts w:eastAsia="Arial" w:cstheme="minorHAnsi"/>
        </w:rPr>
        <w:t>Mbagathi</w:t>
      </w:r>
      <w:proofErr w:type="spellEnd"/>
      <w:r w:rsidRPr="007D0616">
        <w:rPr>
          <w:rFonts w:eastAsia="Arial" w:cstheme="minorHAnsi"/>
        </w:rPr>
        <w:t xml:space="preserve"> way, 20778 – 00200, Nairobi, Kenya</w:t>
      </w:r>
    </w:p>
    <w:p w14:paraId="1F7966BE" w14:textId="400CA53C" w:rsidR="007D0616" w:rsidRPr="007D0616" w:rsidRDefault="007D0616" w:rsidP="007D0616">
      <w:pPr>
        <w:rPr>
          <w:rFonts w:eastAsia="Arial" w:cstheme="minorHAnsi"/>
          <w:vertAlign w:val="superscript"/>
        </w:rPr>
      </w:pPr>
      <w:r w:rsidRPr="007D0616">
        <w:rPr>
          <w:rFonts w:eastAsia="Arial" w:cstheme="minorHAnsi"/>
          <w:vertAlign w:val="superscript"/>
        </w:rPr>
        <w:t>9</w:t>
      </w:r>
      <w:r w:rsidRPr="007D0616">
        <w:rPr>
          <w:rFonts w:eastAsia="Arial" w:cstheme="minorHAnsi"/>
        </w:rPr>
        <w:t xml:space="preserve">Department of </w:t>
      </w:r>
      <w:proofErr w:type="spellStart"/>
      <w:r w:rsidRPr="007D0616">
        <w:rPr>
          <w:rFonts w:eastAsia="Arial" w:cstheme="minorHAnsi"/>
        </w:rPr>
        <w:t>Pediatrics</w:t>
      </w:r>
      <w:proofErr w:type="spellEnd"/>
      <w:r w:rsidRPr="007D0616">
        <w:rPr>
          <w:rFonts w:eastAsia="Arial" w:cstheme="minorHAnsi"/>
        </w:rPr>
        <w:t>, School of Medicine, University of Colorado Denver, 13123 East 16th Avenue Box 055, Aurora, 80045, Colorado, United States</w:t>
      </w:r>
    </w:p>
    <w:p w14:paraId="6D582BFF" w14:textId="77777777" w:rsidR="00870BF8" w:rsidRPr="0095586E" w:rsidRDefault="00870BF8" w:rsidP="00870BF8">
      <w:pPr>
        <w:pStyle w:val="NormalWeb"/>
        <w:jc w:val="both"/>
        <w:rPr>
          <w:rStyle w:val="Heading2Char"/>
          <w:rFonts w:asciiTheme="minorHAnsi" w:hAnsiTheme="minorHAnsi" w:cstheme="minorHAnsi"/>
          <w:b/>
          <w:color w:val="auto"/>
          <w:sz w:val="24"/>
          <w:szCs w:val="24"/>
        </w:rPr>
      </w:pPr>
      <w:r w:rsidRPr="0095586E">
        <w:rPr>
          <w:rStyle w:val="Heading2Char"/>
          <w:rFonts w:asciiTheme="minorHAnsi" w:hAnsiTheme="minorHAnsi" w:cstheme="minorHAnsi"/>
          <w:b/>
          <w:color w:val="auto"/>
          <w:sz w:val="24"/>
          <w:szCs w:val="24"/>
        </w:rPr>
        <w:t>Corresponding author</w:t>
      </w:r>
    </w:p>
    <w:p w14:paraId="6A9CD16A" w14:textId="77777777" w:rsidR="00870BF8" w:rsidRPr="0095586E" w:rsidRDefault="00870BF8" w:rsidP="00870BF8">
      <w:pPr>
        <w:pStyle w:val="NormalWeb"/>
        <w:jc w:val="both"/>
        <w:rPr>
          <w:rStyle w:val="Heading2Char"/>
          <w:rFonts w:asciiTheme="minorHAnsi" w:hAnsiTheme="minorHAnsi" w:cstheme="minorHAnsi"/>
          <w:color w:val="auto"/>
          <w:sz w:val="24"/>
          <w:szCs w:val="24"/>
        </w:rPr>
      </w:pPr>
      <w:r w:rsidRPr="0095586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Email: monyando@kargeno-hub.org/monyando@gmail.com</w:t>
      </w:r>
    </w:p>
    <w:p w14:paraId="6362D497" w14:textId="77777777" w:rsidR="00870BF8" w:rsidRDefault="00870BF8" w:rsidP="003F6B42">
      <w:pPr>
        <w:rPr>
          <w:b/>
          <w:bCs/>
        </w:rPr>
      </w:pPr>
    </w:p>
    <w:p w14:paraId="4FA25019" w14:textId="361EE567" w:rsidR="0013464D" w:rsidRPr="007D0616" w:rsidRDefault="00594160" w:rsidP="003F6B4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Word count: </w:t>
      </w:r>
      <w:r w:rsidR="006825BD">
        <w:rPr>
          <w:b/>
          <w:bCs/>
          <w:lang w:val="en-US"/>
        </w:rPr>
        <w:t>421</w:t>
      </w:r>
      <w:r>
        <w:rPr>
          <w:b/>
          <w:bCs/>
          <w:lang w:val="en-US"/>
        </w:rPr>
        <w:t>/</w:t>
      </w:r>
      <w:r w:rsidR="008D40D9">
        <w:rPr>
          <w:b/>
          <w:bCs/>
          <w:lang w:val="en-US"/>
        </w:rPr>
        <w:t>500</w:t>
      </w:r>
    </w:p>
    <w:p w14:paraId="28AE0E76" w14:textId="77777777" w:rsidR="0013464D" w:rsidRPr="00291FBF" w:rsidRDefault="0013464D" w:rsidP="003F6B42">
      <w:pPr>
        <w:rPr>
          <w:b/>
          <w:bCs/>
        </w:rPr>
      </w:pPr>
    </w:p>
    <w:p w14:paraId="1D6CC865" w14:textId="7B1B1B16" w:rsidR="003F6B42" w:rsidRPr="003F6B42" w:rsidRDefault="00870BF8" w:rsidP="00291FBF">
      <w:pPr>
        <w:jc w:val="both"/>
      </w:pPr>
      <w:r>
        <w:rPr>
          <w:b/>
          <w:bCs/>
        </w:rPr>
        <w:lastRenderedPageBreak/>
        <w:t>Introduction</w:t>
      </w:r>
      <w:r w:rsidR="003F6B42" w:rsidRPr="003F6B42">
        <w:rPr>
          <w:b/>
          <w:bCs/>
        </w:rPr>
        <w:t>:</w:t>
      </w:r>
      <w:r w:rsidR="003F6B42" w:rsidRPr="003F6B42">
        <w:t xml:space="preserve"> </w:t>
      </w:r>
      <w:r>
        <w:t xml:space="preserve">Pregnant and </w:t>
      </w:r>
      <w:r w:rsidR="003F6B42" w:rsidRPr="003F6B42">
        <w:t xml:space="preserve">Postpartum </w:t>
      </w:r>
      <w:r>
        <w:t>W</w:t>
      </w:r>
      <w:r w:rsidR="003F6B42" w:rsidRPr="003F6B42">
        <w:t xml:space="preserve">omen living with HIV </w:t>
      </w:r>
      <w:r>
        <w:t xml:space="preserve">(PPWH) </w:t>
      </w:r>
      <w:r w:rsidR="003F6B42" w:rsidRPr="003F6B42">
        <w:t xml:space="preserve">face elevated risks of mental health challenges, which can impede engagement in HIV care. This study assessed the </w:t>
      </w:r>
      <w:r w:rsidR="00291FBF">
        <w:t xml:space="preserve">acceptability, feasibility and fidelity of </w:t>
      </w:r>
      <w:r w:rsidR="003F6B42">
        <w:t xml:space="preserve">the </w:t>
      </w:r>
      <w:r w:rsidR="003F6B42" w:rsidRPr="003F6B42">
        <w:t>WHO's Problem Management Plus (PM+) intervention</w:t>
      </w:r>
      <w:r w:rsidR="00594160">
        <w:rPr>
          <w:lang w:val="en-US"/>
        </w:rPr>
        <w:t xml:space="preserve"> </w:t>
      </w:r>
      <w:r w:rsidR="00594160">
        <w:t xml:space="preserve">adapted </w:t>
      </w:r>
      <w:r w:rsidR="00594160">
        <w:rPr>
          <w:lang w:val="en-US"/>
        </w:rPr>
        <w:t>for PPWH</w:t>
      </w:r>
      <w:r w:rsidR="003F6B42" w:rsidRPr="003F6B42">
        <w:t>, delivered in-person and via mobile phone, in a resource-limited setting.</w:t>
      </w:r>
    </w:p>
    <w:p w14:paraId="11A1A10E" w14:textId="7EC14AB4" w:rsidR="005972F7" w:rsidRDefault="003F6B42" w:rsidP="00291FBF">
      <w:pPr>
        <w:jc w:val="both"/>
      </w:pPr>
      <w:r w:rsidRPr="003F6B42">
        <w:rPr>
          <w:b/>
          <w:bCs/>
        </w:rPr>
        <w:t>Methods:</w:t>
      </w:r>
      <w:r w:rsidRPr="003F6B42">
        <w:t xml:space="preserve"> </w:t>
      </w:r>
      <w:r w:rsidR="00291FBF" w:rsidRPr="00291FBF">
        <w:t xml:space="preserve">This </w:t>
      </w:r>
      <w:r w:rsidR="00793D72">
        <w:t xml:space="preserve">cross-sectional study </w:t>
      </w:r>
      <w:r w:rsidR="00291FBF" w:rsidRPr="00291FBF">
        <w:t xml:space="preserve">analyzed baseline data from 120 participants in the TATUA pilot study in Kisumu, Kenya, enrolled in March -August 2024. TATUA aims to </w:t>
      </w:r>
      <w:r w:rsidR="00594160">
        <w:rPr>
          <w:lang w:val="en-US"/>
        </w:rPr>
        <w:t xml:space="preserve">evaluate the impact of PM+ to </w:t>
      </w:r>
      <w:r w:rsidR="00291FBF" w:rsidRPr="00291FBF">
        <w:t>prevent care disengagement and viral failure among PPW</w:t>
      </w:r>
      <w:r w:rsidR="00594160">
        <w:rPr>
          <w:lang w:val="en-US"/>
        </w:rPr>
        <w:t>. PM+ is an</w:t>
      </w:r>
      <w:r w:rsidR="00291FBF" w:rsidRPr="00291FBF">
        <w:t xml:space="preserve"> evidence-based psychosocial intervention</w:t>
      </w:r>
      <w:r w:rsidR="007D0616">
        <w:t xml:space="preserve"> </w:t>
      </w:r>
      <w:r w:rsidR="00291FBF" w:rsidRPr="00291FBF">
        <w:t xml:space="preserve">delivered by </w:t>
      </w:r>
      <w:r w:rsidR="00594160">
        <w:rPr>
          <w:lang w:val="en-US"/>
        </w:rPr>
        <w:t xml:space="preserve">trained </w:t>
      </w:r>
      <w:r w:rsidR="00291FBF" w:rsidRPr="00291FBF">
        <w:t>lay health workers</w:t>
      </w:r>
      <w:r w:rsidR="00D24EFF">
        <w:rPr>
          <w:lang w:val="en-US"/>
        </w:rPr>
        <w:t xml:space="preserve"> in weekly sessions</w:t>
      </w:r>
      <w:r w:rsidR="00291FBF" w:rsidRPr="00291FBF">
        <w:t xml:space="preserve">. Participants </w:t>
      </w:r>
      <w:r w:rsidR="00594160">
        <w:rPr>
          <w:lang w:val="en-US"/>
        </w:rPr>
        <w:t xml:space="preserve">at risk for care disengagement and viral failure </w:t>
      </w:r>
      <w:r w:rsidR="00594160" w:rsidRPr="00291FBF">
        <w:t xml:space="preserve">based on a risk calculator developed in this study </w:t>
      </w:r>
      <w:r w:rsidR="00291FBF" w:rsidRPr="00291FBF">
        <w:t xml:space="preserve">were enrolled </w:t>
      </w:r>
      <w:r w:rsidR="00594160">
        <w:rPr>
          <w:lang w:val="en-US"/>
        </w:rPr>
        <w:t xml:space="preserve">and randomized 1:1:1 to the standard of care (N=40), 5 session </w:t>
      </w:r>
      <w:r w:rsidRPr="003F6B42">
        <w:t xml:space="preserve">in-person </w:t>
      </w:r>
      <w:r w:rsidR="00594160">
        <w:rPr>
          <w:lang w:val="en-US"/>
        </w:rPr>
        <w:t xml:space="preserve">PM+ (N=40) </w:t>
      </w:r>
      <w:r w:rsidRPr="003F6B42">
        <w:t xml:space="preserve">and </w:t>
      </w:r>
      <w:r w:rsidR="00594160">
        <w:rPr>
          <w:lang w:val="en-US"/>
        </w:rPr>
        <w:t xml:space="preserve">10 session </w:t>
      </w:r>
      <w:r w:rsidRPr="003F6B42">
        <w:t xml:space="preserve">mobile </w:t>
      </w:r>
      <w:r w:rsidR="00594160">
        <w:rPr>
          <w:lang w:val="en-US"/>
        </w:rPr>
        <w:t>PM+ (N=40) arms</w:t>
      </w:r>
      <w:r w:rsidRPr="003F6B42">
        <w:t xml:space="preserve">. </w:t>
      </w:r>
      <w:r w:rsidR="00291FBF">
        <w:t>A</w:t>
      </w:r>
      <w:r w:rsidRPr="003F6B42">
        <w:t xml:space="preserve">cceptability </w:t>
      </w:r>
      <w:r w:rsidR="00291FBF">
        <w:t xml:space="preserve">was </w:t>
      </w:r>
      <w:r w:rsidR="00220238">
        <w:rPr>
          <w:lang w:val="en-GB"/>
        </w:rPr>
        <w:t>assessed</w:t>
      </w:r>
      <w:r w:rsidR="00220238">
        <w:t xml:space="preserve"> </w:t>
      </w:r>
      <w:r w:rsidRPr="003F6B42">
        <w:t xml:space="preserve">through structured surveys administered at </w:t>
      </w:r>
      <w:r w:rsidR="00220238">
        <w:rPr>
          <w:lang w:val="en-GB"/>
        </w:rPr>
        <w:t>three</w:t>
      </w:r>
      <w:r w:rsidRPr="003F6B42">
        <w:t xml:space="preserve"> and </w:t>
      </w:r>
      <w:r w:rsidR="00220238">
        <w:rPr>
          <w:lang w:val="en-GB"/>
        </w:rPr>
        <w:t>six</w:t>
      </w:r>
      <w:r w:rsidRPr="003F6B42">
        <w:t xml:space="preserve"> months postpartum</w:t>
      </w:r>
      <w:r w:rsidR="00291FBF">
        <w:t>,</w:t>
      </w:r>
      <w:r w:rsidR="00291FBF" w:rsidRPr="00291FBF">
        <w:t xml:space="preserve"> </w:t>
      </w:r>
      <w:r w:rsidR="00291FBF" w:rsidRPr="003F6B42">
        <w:t>feasibility</w:t>
      </w:r>
      <w:r w:rsidR="00220238">
        <w:rPr>
          <w:lang w:val="en-GB"/>
        </w:rPr>
        <w:t xml:space="preserve"> was evaluated</w:t>
      </w:r>
      <w:r w:rsidR="00291FBF" w:rsidRPr="003F6B42">
        <w:t xml:space="preserve"> </w:t>
      </w:r>
      <w:r w:rsidR="00220238">
        <w:rPr>
          <w:lang w:val="en-GB"/>
        </w:rPr>
        <w:t>based on</w:t>
      </w:r>
      <w:r w:rsidR="00220238" w:rsidRPr="003F6B42">
        <w:t xml:space="preserve"> </w:t>
      </w:r>
      <w:r w:rsidR="00291FBF" w:rsidRPr="003F6B42">
        <w:t xml:space="preserve">recruitment and retention </w:t>
      </w:r>
      <w:r w:rsidR="00220238">
        <w:rPr>
          <w:lang w:val="en-GB"/>
        </w:rPr>
        <w:t>rates;</w:t>
      </w:r>
      <w:r w:rsidR="00291FBF">
        <w:t xml:space="preserve"> and fidelity </w:t>
      </w:r>
      <w:r w:rsidR="00220238">
        <w:rPr>
          <w:lang w:val="en-GB"/>
        </w:rPr>
        <w:t>was measured</w:t>
      </w:r>
      <w:r w:rsidR="0038105D">
        <w:rPr>
          <w:lang w:val="en-GB"/>
        </w:rPr>
        <w:t xml:space="preserve"> </w:t>
      </w:r>
      <w:r w:rsidR="0030779C">
        <w:rPr>
          <w:lang w:val="en-GB"/>
        </w:rPr>
        <w:t xml:space="preserve">by </w:t>
      </w:r>
      <w:r w:rsidR="0038105D">
        <w:rPr>
          <w:lang w:val="en-GB"/>
        </w:rPr>
        <w:t>intervention</w:t>
      </w:r>
      <w:r w:rsidR="00220238" w:rsidRPr="003F6B42">
        <w:t xml:space="preserve"> </w:t>
      </w:r>
      <w:r w:rsidR="00291FBF">
        <w:t xml:space="preserve">coverage and </w:t>
      </w:r>
      <w:r w:rsidR="00291FBF" w:rsidRPr="003F6B42">
        <w:t>session completion timelines</w:t>
      </w:r>
      <w:r w:rsidR="00291FBF">
        <w:t>.</w:t>
      </w:r>
    </w:p>
    <w:p w14:paraId="702F6136" w14:textId="5A537FF3" w:rsidR="005972F7" w:rsidRPr="003F6B42" w:rsidRDefault="005972F7" w:rsidP="00291FBF">
      <w:pPr>
        <w:jc w:val="both"/>
      </w:pPr>
      <w:r w:rsidRPr="005972F7">
        <w:rPr>
          <w:b/>
          <w:bCs/>
        </w:rPr>
        <w:t>Results:</w:t>
      </w:r>
      <w:r w:rsidRPr="005972F7">
        <w:t xml:space="preserve"> Among </w:t>
      </w:r>
      <w:r w:rsidR="00793D72">
        <w:t xml:space="preserve">the 80 </w:t>
      </w:r>
      <w:r w:rsidRPr="005972F7">
        <w:t>participants</w:t>
      </w:r>
      <w:r w:rsidR="00594160">
        <w:rPr>
          <w:lang w:val="en-US"/>
        </w:rPr>
        <w:t xml:space="preserve"> randomized to a PM+ arm</w:t>
      </w:r>
      <w:r w:rsidRPr="005972F7">
        <w:t xml:space="preserve"> (mean age </w:t>
      </w:r>
      <w:r w:rsidR="007D0616" w:rsidRPr="005972F7">
        <w:t>3</w:t>
      </w:r>
      <w:r w:rsidR="007D0616">
        <w:t>0</w:t>
      </w:r>
      <w:r w:rsidRPr="005972F7">
        <w:t>, S</w:t>
      </w:r>
      <w:proofErr w:type="spellStart"/>
      <w:r w:rsidR="00594160">
        <w:rPr>
          <w:lang w:val="en-US"/>
        </w:rPr>
        <w:t>tandard</w:t>
      </w:r>
      <w:proofErr w:type="spellEnd"/>
      <w:r w:rsidR="00594160">
        <w:rPr>
          <w:lang w:val="en-US"/>
        </w:rPr>
        <w:t xml:space="preserve"> </w:t>
      </w:r>
      <w:r w:rsidRPr="005972F7">
        <w:t>D</w:t>
      </w:r>
      <w:proofErr w:type="spellStart"/>
      <w:r w:rsidR="00594160">
        <w:rPr>
          <w:lang w:val="en-US"/>
        </w:rPr>
        <w:t>eviation</w:t>
      </w:r>
      <w:proofErr w:type="spellEnd"/>
      <w:r w:rsidRPr="005972F7">
        <w:t xml:space="preserve"> =</w:t>
      </w:r>
      <w:r w:rsidR="007D0616">
        <w:t>7</w:t>
      </w:r>
      <w:r w:rsidRPr="005972F7">
        <w:t>), most were married (</w:t>
      </w:r>
      <w:r w:rsidR="007D0616" w:rsidRPr="005972F7">
        <w:t>7</w:t>
      </w:r>
      <w:r w:rsidR="007D0616">
        <w:t>8</w:t>
      </w:r>
      <w:r w:rsidRPr="005972F7">
        <w:t xml:space="preserve">%), </w:t>
      </w:r>
      <w:r w:rsidR="007D0616">
        <w:t>48</w:t>
      </w:r>
      <w:r w:rsidRPr="005972F7">
        <w:t xml:space="preserve">% had </w:t>
      </w:r>
      <w:r w:rsidR="00462424">
        <w:t xml:space="preserve">attained secondary level </w:t>
      </w:r>
      <w:r w:rsidRPr="005972F7">
        <w:t xml:space="preserve">education, and </w:t>
      </w:r>
      <w:r w:rsidR="007D0616">
        <w:t>5</w:t>
      </w:r>
      <w:r w:rsidRPr="005972F7">
        <w:t xml:space="preserve">% were formally employed. Acceptability was high </w:t>
      </w:r>
      <w:r w:rsidR="00594160">
        <w:rPr>
          <w:lang w:val="en-US"/>
        </w:rPr>
        <w:t>in both in-person and mobile delivery arms</w:t>
      </w:r>
      <w:r w:rsidRPr="005972F7">
        <w:t xml:space="preserve">, </w:t>
      </w:r>
      <w:r w:rsidR="00462424">
        <w:t xml:space="preserve">with &gt;95% coverage and </w:t>
      </w:r>
      <w:r w:rsidRPr="005972F7">
        <w:t>&gt;98% reporting positive experiences at both 3 and 6 months. Feasibility was demonstrated by a 94% enrolment rate</w:t>
      </w:r>
      <w:r w:rsidR="00594160">
        <w:rPr>
          <w:lang w:val="en-US"/>
        </w:rPr>
        <w:t xml:space="preserve"> of those eligible</w:t>
      </w:r>
      <w:r w:rsidRPr="005972F7">
        <w:t xml:space="preserve"> and 95% </w:t>
      </w:r>
      <w:r w:rsidR="00594160">
        <w:rPr>
          <w:lang w:val="en-US"/>
        </w:rPr>
        <w:t xml:space="preserve">PM+ </w:t>
      </w:r>
      <w:r w:rsidRPr="005972F7">
        <w:t xml:space="preserve">session completion. While fidelity was high in both arms, timely completion </w:t>
      </w:r>
      <w:r w:rsidR="00594160">
        <w:rPr>
          <w:lang w:val="en-US"/>
        </w:rPr>
        <w:t xml:space="preserve">of </w:t>
      </w:r>
      <w:r w:rsidR="00D24EFF">
        <w:rPr>
          <w:lang w:val="en-US"/>
        </w:rPr>
        <w:t xml:space="preserve">all </w:t>
      </w:r>
      <w:r w:rsidR="00594160">
        <w:rPr>
          <w:lang w:val="en-US"/>
        </w:rPr>
        <w:t xml:space="preserve">sessions </w:t>
      </w:r>
      <w:r w:rsidRPr="005972F7">
        <w:t>was more common in the in-person arm (42.1%) than mobile (13.2%)</w:t>
      </w:r>
      <w:r w:rsidR="008D40D9">
        <w:t xml:space="preserve">. </w:t>
      </w:r>
      <w:r w:rsidRPr="005972F7">
        <w:t xml:space="preserve">Most participants reported improved mental health </w:t>
      </w:r>
      <w:r w:rsidR="00D24EFF">
        <w:rPr>
          <w:lang w:val="en-US"/>
        </w:rPr>
        <w:t>(</w:t>
      </w:r>
      <w:r w:rsidR="009E47C0">
        <w:rPr>
          <w:lang w:val="en-US"/>
        </w:rPr>
        <w:t>100</w:t>
      </w:r>
      <w:r w:rsidR="00D24EFF">
        <w:rPr>
          <w:lang w:val="en-US"/>
        </w:rPr>
        <w:t>%</w:t>
      </w:r>
      <w:r w:rsidR="009E47C0">
        <w:rPr>
          <w:lang w:val="en-US"/>
        </w:rPr>
        <w:t xml:space="preserve"> at 3 and 6 months</w:t>
      </w:r>
      <w:r w:rsidR="00D24EFF">
        <w:rPr>
          <w:lang w:val="en-US"/>
        </w:rPr>
        <w:t xml:space="preserve">) </w:t>
      </w:r>
      <w:r w:rsidRPr="005972F7">
        <w:t xml:space="preserve">and HIV care engagement </w:t>
      </w:r>
      <w:r w:rsidR="00D24EFF">
        <w:rPr>
          <w:lang w:val="en-US"/>
        </w:rPr>
        <w:t>(</w:t>
      </w:r>
      <w:r w:rsidR="009E47C0">
        <w:rPr>
          <w:lang w:val="en-US"/>
        </w:rPr>
        <w:t xml:space="preserve">97% at 3 months and </w:t>
      </w:r>
      <w:r w:rsidR="009E47C0">
        <w:rPr>
          <w:lang w:val="en-US"/>
        </w:rPr>
        <w:t>100</w:t>
      </w:r>
      <w:r w:rsidR="00D24EFF">
        <w:rPr>
          <w:lang w:val="en-US"/>
        </w:rPr>
        <w:t>%</w:t>
      </w:r>
      <w:r w:rsidR="009E47C0">
        <w:rPr>
          <w:lang w:val="en-US"/>
        </w:rPr>
        <w:t xml:space="preserve"> at 6 months</w:t>
      </w:r>
      <w:r w:rsidR="00D24EFF">
        <w:rPr>
          <w:lang w:val="en-US"/>
        </w:rPr>
        <w:t xml:space="preserve">) </w:t>
      </w:r>
      <w:r w:rsidRPr="005972F7">
        <w:t>with minimal disruption to daily responsibilities</w:t>
      </w:r>
      <w:r w:rsidR="009E47C0">
        <w:t>.</w:t>
      </w:r>
    </w:p>
    <w:p w14:paraId="15CD31A6" w14:textId="675B470A" w:rsidR="003F6B42" w:rsidRDefault="003F6B42" w:rsidP="00291FBF">
      <w:pPr>
        <w:jc w:val="both"/>
      </w:pPr>
      <w:r w:rsidRPr="003F6B42">
        <w:rPr>
          <w:b/>
          <w:bCs/>
        </w:rPr>
        <w:t>Conclusion:</w:t>
      </w:r>
      <w:r w:rsidR="005A3843">
        <w:rPr>
          <w:b/>
          <w:bCs/>
        </w:rPr>
        <w:t xml:space="preserve"> </w:t>
      </w:r>
      <w:r w:rsidR="0038105D">
        <w:rPr>
          <w:lang w:val="en-GB"/>
        </w:rPr>
        <w:t xml:space="preserve">These findings highlight the adaptability of </w:t>
      </w:r>
      <w:r w:rsidRPr="003F6B42">
        <w:t xml:space="preserve">PM+ </w:t>
      </w:r>
      <w:r w:rsidR="00B1238B">
        <w:rPr>
          <w:lang w:val="en-GB"/>
        </w:rPr>
        <w:t xml:space="preserve">intervention, while pointing out the importance of addressing real-world implementation </w:t>
      </w:r>
      <w:r w:rsidR="00D24EFF">
        <w:rPr>
          <w:lang w:val="en-GB"/>
        </w:rPr>
        <w:t xml:space="preserve">considerations </w:t>
      </w:r>
      <w:r w:rsidR="00B1238B">
        <w:rPr>
          <w:lang w:val="en-GB"/>
        </w:rPr>
        <w:t xml:space="preserve">in future scale-up efforts. </w:t>
      </w:r>
      <w:r w:rsidR="005972F7" w:rsidRPr="005972F7">
        <w:t xml:space="preserve">PM+ demonstrates strong feasibility and acceptability in supporting mental health and HIV care engagement among </w:t>
      </w:r>
      <w:r w:rsidR="00D24EFF">
        <w:rPr>
          <w:lang w:val="en-US"/>
        </w:rPr>
        <w:t>PPWH</w:t>
      </w:r>
      <w:r w:rsidR="005972F7" w:rsidRPr="005972F7">
        <w:t>.</w:t>
      </w:r>
      <w:r w:rsidR="008D40D9">
        <w:t xml:space="preserve"> While the</w:t>
      </w:r>
      <w:r w:rsidR="005972F7" w:rsidRPr="005972F7">
        <w:t xml:space="preserve"> potential for scalability through mobile delivery</w:t>
      </w:r>
      <w:r w:rsidR="008D40D9">
        <w:t xml:space="preserve"> </w:t>
      </w:r>
      <w:r w:rsidR="005972F7" w:rsidRPr="005972F7">
        <w:t>offers a promising avenue for broader implementation and increased reach in diverse settings</w:t>
      </w:r>
      <w:r w:rsidR="008D40D9">
        <w:t>, there is need for greater flexibility for timely completion of the sessions</w:t>
      </w:r>
      <w:r w:rsidR="005972F7" w:rsidRPr="005972F7">
        <w:t>.</w:t>
      </w:r>
    </w:p>
    <w:p w14:paraId="4F7A202C" w14:textId="77777777" w:rsidR="009E47C0" w:rsidRDefault="009E47C0" w:rsidP="00291FBF">
      <w:pPr>
        <w:jc w:val="both"/>
      </w:pPr>
    </w:p>
    <w:p w14:paraId="154AEFE5" w14:textId="1B311E57" w:rsidR="00870BF8" w:rsidRDefault="00870BF8" w:rsidP="00291FBF">
      <w:pPr>
        <w:jc w:val="both"/>
      </w:pPr>
      <w:r>
        <w:t>Key words: Problem management plus, acceptability, fidelity, feasibility</w:t>
      </w:r>
    </w:p>
    <w:p w14:paraId="25D27F6F" w14:textId="77777777" w:rsidR="0025498A" w:rsidRDefault="0025498A" w:rsidP="0025498A">
      <w:pPr>
        <w:jc w:val="both"/>
        <w:rPr>
          <w:b/>
          <w:bCs/>
        </w:rPr>
      </w:pPr>
      <w:r w:rsidRPr="00870BF8">
        <w:rPr>
          <w:b/>
          <w:bCs/>
        </w:rPr>
        <w:t>References</w:t>
      </w:r>
    </w:p>
    <w:p w14:paraId="4BF66D7E" w14:textId="47AD118A" w:rsidR="0025498A" w:rsidRPr="0025498A" w:rsidRDefault="0025498A" w:rsidP="0025498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5498A">
        <w:rPr>
          <w:rFonts w:cstheme="minorHAnsi"/>
          <w:noProof/>
        </w:rPr>
        <w:t xml:space="preserve"> Chibanda D, Shetty AK, Tshimanga M, Woelk G, Stranix-Chibanda L, Rusakaniko S. Group problem-solving therapy for postnatal depression among HIV-positive and HIV-negative mothers in Zimbabwe. </w:t>
      </w:r>
      <w:r w:rsidRPr="0025498A">
        <w:rPr>
          <w:rFonts w:cstheme="minorHAnsi"/>
          <w:i/>
          <w:noProof/>
        </w:rPr>
        <w:t xml:space="preserve">J Int Assoc Provid AIDS Care. </w:t>
      </w:r>
      <w:r w:rsidRPr="0025498A">
        <w:rPr>
          <w:rFonts w:cstheme="minorHAnsi"/>
          <w:noProof/>
        </w:rPr>
        <w:t>2014;13(4):335-341.</w:t>
      </w:r>
    </w:p>
    <w:p w14:paraId="47D345DA" w14:textId="162D68B0" w:rsidR="0025498A" w:rsidRPr="0025498A" w:rsidRDefault="0025498A" w:rsidP="0025498A">
      <w:pPr>
        <w:pStyle w:val="EndNoteBibliography"/>
        <w:spacing w:line="360" w:lineRule="auto"/>
        <w:rPr>
          <w:rFonts w:asciiTheme="minorHAnsi" w:hAnsiTheme="minorHAnsi" w:cstheme="minorHAnsi"/>
          <w:noProof/>
        </w:rPr>
      </w:pPr>
    </w:p>
    <w:p w14:paraId="32CB9D48" w14:textId="77777777" w:rsidR="0025498A" w:rsidRDefault="0025498A" w:rsidP="00291FBF">
      <w:pPr>
        <w:jc w:val="both"/>
      </w:pPr>
    </w:p>
    <w:sectPr w:rsidR="00254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62D8B"/>
    <w:multiLevelType w:val="hybridMultilevel"/>
    <w:tmpl w:val="073E27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0C27F8"/>
    <w:rsid w:val="0013464D"/>
    <w:rsid w:val="001C63BC"/>
    <w:rsid w:val="00220238"/>
    <w:rsid w:val="0025498A"/>
    <w:rsid w:val="00291FBF"/>
    <w:rsid w:val="0030779C"/>
    <w:rsid w:val="00316AEA"/>
    <w:rsid w:val="0038105D"/>
    <w:rsid w:val="003F6B42"/>
    <w:rsid w:val="00462424"/>
    <w:rsid w:val="004F0065"/>
    <w:rsid w:val="00594160"/>
    <w:rsid w:val="005972F7"/>
    <w:rsid w:val="005A3843"/>
    <w:rsid w:val="006825BD"/>
    <w:rsid w:val="00717A10"/>
    <w:rsid w:val="00793D72"/>
    <w:rsid w:val="007D0616"/>
    <w:rsid w:val="00870BF8"/>
    <w:rsid w:val="008D40D9"/>
    <w:rsid w:val="00913C31"/>
    <w:rsid w:val="009E47C0"/>
    <w:rsid w:val="00B1238B"/>
    <w:rsid w:val="00B7250B"/>
    <w:rsid w:val="00BF55EC"/>
    <w:rsid w:val="00CC5B7C"/>
    <w:rsid w:val="00D24EFF"/>
    <w:rsid w:val="00D67896"/>
    <w:rsid w:val="00FA2D64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D3A3"/>
  <w15:chartTrackingRefBased/>
  <w15:docId w15:val="{451435D7-9FEF-451A-840B-4C63B570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B4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81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05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384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5498A"/>
    <w:pPr>
      <w:spacing w:after="0" w:line="240" w:lineRule="auto"/>
    </w:pPr>
    <w:rPr>
      <w:rFonts w:ascii="Times New Roman" w:eastAsia="MS Mincho" w:hAnsi="Times New Roman" w:cs="Times New Roman"/>
      <w:kern w:val="0"/>
      <w:lang w:val="en-US" w:eastAsia="ja-JP"/>
      <w14:ligatures w14:val="none"/>
    </w:rPr>
  </w:style>
  <w:style w:type="character" w:customStyle="1" w:styleId="EndNoteBibliographyChar">
    <w:name w:val="EndNote Bibliography Char"/>
    <w:link w:val="EndNoteBibliography"/>
    <w:locked/>
    <w:rsid w:val="0025498A"/>
    <w:rPr>
      <w:rFonts w:ascii="Times New Roman" w:eastAsia="MS Mincho" w:hAnsi="Times New Roman" w:cs="Times New Roman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Monyando</dc:creator>
  <cp:keywords/>
  <dc:description/>
  <cp:lastModifiedBy>Monyando</cp:lastModifiedBy>
  <cp:revision>2</cp:revision>
  <dcterms:created xsi:type="dcterms:W3CDTF">2025-05-30T18:56:00Z</dcterms:created>
  <dcterms:modified xsi:type="dcterms:W3CDTF">2025-05-30T18:56:00Z</dcterms:modified>
</cp:coreProperties>
</file>