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1A7F8C" w:sz="6"/>
              <w:left w:val="single" w:color="1A7F8C" w:sz="6"/>
              <w:bottom w:val="single" w:color="1A7F8C" w:sz="6"/>
              <w:right w:val="single" w:color="1A7F8C" w:sz="6"/>
            </w:tcBorders>
            <w:shd w:fill="E8F5F7" w:val="clear"/>
            <w:tcMar>
              <w:top w:type="dxa" w:w="140"/>
              <w:left w:type="dxa" w:w="220"/>
              <w:bottom w:type="dxa" w:w="140"/>
              <w:right w:type="dxa" w:w="220"/>
            </w:tcMar>
          </w:tcPr>
          <w:p>
            <w:pPr>
              <w:spacing w:after="120" w:before="0"/>
              <w:jc w:val="both"/>
            </w:pPr>
            <w:r>
              <w:rPr>
                <w:rFonts w:ascii="Arial" w:cs="Arial" w:eastAsia="Arial" w:hAnsi="Arial"/>
                <w:color w:val="1A2B2E"/>
                <w:sz w:val="21"/>
                <w:szCs w:val="21"/>
              </w:rPr>
              <w:t xml:space="preserve">18th Kenya Psychiatric Association Annual Scientific Conference | Diani, Kenya | 2-4 September 2026 | Theme: Building a Mentally Healthy Nation: Reimagining Mental Health through Prevention and Wellness</w:t>
            </w:r>
          </w:p>
        </w:tc>
      </w:tr>
    </w:tbl>
    <w:p>
      <w:pPr>
        <w:spacing w:after="160" w:before="160"/>
      </w:pPr>
      <w:r>
        <w:t xml:space="preserve"/>
      </w:r>
    </w:p>
    <w:p>
      <w:pPr>
        <w:spacing w:after="160" w:before="0"/>
        <w:jc w:val="left"/>
      </w:pPr>
      <w:r>
        <w:rPr>
          <w:rFonts w:ascii="Arial" w:cs="Arial" w:eastAsia="Arial" w:hAnsi="Arial"/>
          <w:b/>
          <w:bCs/>
          <w:color w:val="1A2B2E"/>
          <w:sz w:val="30"/>
          <w:szCs w:val="30"/>
        </w:rPr>
        <w:t xml:space="preserve">The Invisible Wound: A Comprehensive Literature Review of the Psychosocial Status of Healthcare Workers in Kenyan Hospitals — Evidence for Trauma-Informed Organisational Interventions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left"/>
            </w:pPr>
            <w:r>
              <w:rPr>
                <w:rFonts w:ascii="Arial" w:cs="Arial" w:eastAsia="Arial" w:hAnsi="Arial"/>
                <w:b/>
                <w:bCs/>
                <w:color w:val="1A7F8C"/>
                <w:sz w:val="19"/>
                <w:szCs w:val="19"/>
              </w:rPr>
              <w:t xml:space="preserve">Author</w:t>
            </w:r>
          </w:p>
        </w:tc>
        <w:tc>
          <w:tcPr>
            <w:tcW w:type="dxa" w:w="696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both"/>
            </w:pPr>
            <w:r>
              <w:rPr>
                <w:rFonts w:ascii="Arial" w:cs="Arial" w:eastAsia="Arial" w:hAnsi="Arial"/>
                <w:color w:val="1A2B2E"/>
                <w:sz w:val="19"/>
                <w:szCs w:val="19"/>
              </w:rPr>
              <w:t xml:space="preserve">Benjamin Mutuku Kioko, MA Clinical Psychology</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120" w:before="0"/>
              <w:jc w:val="left"/>
            </w:pPr>
            <w:r>
              <w:rPr>
                <w:rFonts w:ascii="Arial" w:cs="Arial" w:eastAsia="Arial" w:hAnsi="Arial"/>
                <w:b/>
                <w:bCs/>
                <w:color w:val="1A7F8C"/>
                <w:sz w:val="19"/>
                <w:szCs w:val="19"/>
              </w:rPr>
              <w:t xml:space="preserve">Affiliation 1</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120" w:before="0"/>
              <w:jc w:val="both"/>
            </w:pPr>
            <w:r>
              <w:rPr>
                <w:rFonts w:ascii="Arial" w:cs="Arial" w:eastAsia="Arial" w:hAnsi="Arial"/>
                <w:color w:val="1A2B2E"/>
                <w:sz w:val="19"/>
                <w:szCs w:val="19"/>
              </w:rPr>
              <w:t xml:space="preserve">Beracah Wellness Services, Nairobi, Kenya</w:t>
            </w:r>
          </w:p>
        </w:tc>
      </w:tr>
      <w:tr>
        <w:tc>
          <w:tcPr>
            <w:tcW w:type="dxa" w:w="240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left"/>
            </w:pPr>
            <w:r>
              <w:rPr>
                <w:rFonts w:ascii="Arial" w:cs="Arial" w:eastAsia="Arial" w:hAnsi="Arial"/>
                <w:b/>
                <w:bCs/>
                <w:color w:val="1A7F8C"/>
                <w:sz w:val="19"/>
                <w:szCs w:val="19"/>
              </w:rPr>
              <w:t xml:space="preserve">Affiliation 2</w:t>
            </w:r>
          </w:p>
        </w:tc>
        <w:tc>
          <w:tcPr>
            <w:tcW w:type="dxa" w:w="696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both"/>
            </w:pPr>
            <w:r>
              <w:rPr>
                <w:rFonts w:ascii="Arial" w:cs="Arial" w:eastAsia="Arial" w:hAnsi="Arial"/>
                <w:color w:val="1A2B2E"/>
                <w:sz w:val="19"/>
                <w:szCs w:val="19"/>
              </w:rPr>
              <w:t xml:space="preserve">United States International University – Africa (USIU-Africa), Nairobi, Kenya</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120" w:before="0"/>
              <w:jc w:val="left"/>
            </w:pPr>
            <w:r>
              <w:rPr>
                <w:rFonts w:ascii="Arial" w:cs="Arial" w:eastAsia="Arial" w:hAnsi="Arial"/>
                <w:b/>
                <w:bCs/>
                <w:color w:val="1A7F8C"/>
                <w:sz w:val="19"/>
                <w:szCs w:val="19"/>
              </w:rPr>
              <w:t xml:space="preserve">Contact</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120" w:before="0"/>
              <w:jc w:val="both"/>
            </w:pPr>
            <w:r>
              <w:rPr>
                <w:rFonts w:ascii="Arial" w:cs="Arial" w:eastAsia="Arial" w:hAnsi="Arial"/>
                <w:color w:val="1A2B2E"/>
                <w:sz w:val="19"/>
                <w:szCs w:val="19"/>
              </w:rPr>
              <w:t xml:space="preserve">beracahwellnesss@gmail.com  |  +254 757 277 501</w:t>
            </w:r>
          </w:p>
        </w:tc>
      </w:tr>
      <w:tr>
        <w:tc>
          <w:tcPr>
            <w:tcW w:type="dxa" w:w="240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left"/>
            </w:pPr>
            <w:r>
              <w:rPr>
                <w:rFonts w:ascii="Arial" w:cs="Arial" w:eastAsia="Arial" w:hAnsi="Arial"/>
                <w:b/>
                <w:bCs/>
                <w:color w:val="1A7F8C"/>
                <w:sz w:val="19"/>
                <w:szCs w:val="19"/>
              </w:rPr>
              <w:t xml:space="preserve">Presentation</w:t>
            </w:r>
          </w:p>
        </w:tc>
        <w:tc>
          <w:tcPr>
            <w:tcW w:type="dxa" w:w="696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both"/>
            </w:pPr>
            <w:r>
              <w:rPr>
                <w:rFonts w:ascii="Arial" w:cs="Arial" w:eastAsia="Arial" w:hAnsi="Arial"/>
                <w:color w:val="1A2B2E"/>
                <w:sz w:val="19"/>
                <w:szCs w:val="19"/>
              </w:rPr>
              <w:t xml:space="preserve">Oral paper — 25 minutes  |  Sub-theme: Workplace Mental Health &amp; Healthy Workplaces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120" w:before="0"/>
              <w:jc w:val="left"/>
            </w:pPr>
            <w:r>
              <w:rPr>
                <w:rFonts w:ascii="Arial" w:cs="Arial" w:eastAsia="Arial" w:hAnsi="Arial"/>
                <w:b/>
                <w:bCs/>
                <w:color w:val="1A7F8C"/>
                <w:sz w:val="19"/>
                <w:szCs w:val="19"/>
              </w:rPr>
              <w:t xml:space="preserve">Conflict of interest</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120" w:before="0"/>
              <w:jc w:val="both"/>
            </w:pPr>
            <w:r>
              <w:rPr>
                <w:rFonts w:ascii="Arial" w:cs="Arial" w:eastAsia="Arial" w:hAnsi="Arial"/>
                <w:color w:val="1A2B2E"/>
                <w:sz w:val="19"/>
                <w:szCs w:val="19"/>
              </w:rPr>
              <w:t xml:space="preserve">None declared</w:t>
            </w:r>
          </w:p>
        </w:tc>
      </w:tr>
      <w:tr>
        <w:tc>
          <w:tcPr>
            <w:tcW w:type="dxa" w:w="240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left"/>
            </w:pPr>
            <w:r>
              <w:rPr>
                <w:rFonts w:ascii="Arial" w:cs="Arial" w:eastAsia="Arial" w:hAnsi="Arial"/>
                <w:b/>
                <w:bCs/>
                <w:color w:val="1A7F8C"/>
                <w:sz w:val="19"/>
                <w:szCs w:val="19"/>
              </w:rPr>
              <w:t xml:space="preserve">Ethics</w:t>
            </w:r>
          </w:p>
        </w:tc>
        <w:tc>
          <w:tcPr>
            <w:tcW w:type="dxa" w:w="6960"/>
            <w:tcBorders>
              <w:top w:val="single" w:color="CCCCCC" w:sz="1"/>
              <w:left w:val="single" w:color="CCCCCC" w:sz="1"/>
              <w:bottom w:val="single" w:color="CCCCCC" w:sz="1"/>
              <w:right w:val="single" w:color="CCCCCC" w:sz="1"/>
            </w:tcBorders>
            <w:shd w:fill="EFF7F8" w:val="clear"/>
            <w:tcMar>
              <w:top w:type="dxa" w:w="80"/>
              <w:left w:type="dxa" w:w="120"/>
              <w:bottom w:type="dxa" w:w="80"/>
              <w:right w:type="dxa" w:w="120"/>
            </w:tcMar>
          </w:tcPr>
          <w:p>
            <w:pPr>
              <w:spacing w:after="120" w:before="0"/>
              <w:jc w:val="both"/>
            </w:pPr>
            <w:r>
              <w:rPr>
                <w:rFonts w:ascii="Arial" w:cs="Arial" w:eastAsia="Arial" w:hAnsi="Arial"/>
                <w:color w:val="1A2B2E"/>
                <w:sz w:val="19"/>
                <w:szCs w:val="19"/>
              </w:rPr>
              <w:t xml:space="preserve">Literature review — no primary data collection; ethics approval not required</w:t>
            </w:r>
          </w:p>
        </w:tc>
      </w:tr>
    </w:tbl>
    <w:p>
      <w:pPr>
        <w:spacing w:after="160" w:before="160"/>
      </w:pPr>
      <w:r>
        <w:t xml:space="preserve"/>
      </w:r>
    </w:p>
    <w:p>
      <w:pPr>
        <w:pBdr>
          <w:bottom w:val="single" w:color="E0E0E0" w:sz="2" w:space="0"/>
        </w:pBdr>
        <w:spacing w:after="0" w:before="120"/>
      </w:pPr>
      <w:r>
        <w:t xml:space="preserve"/>
      </w:r>
    </w:p>
    <w:p>
      <w:pPr>
        <w:spacing w:after="80" w:before="80"/>
      </w:pPr>
      <w:r>
        <w:t xml:space="preserve"/>
      </w:r>
    </w:p>
    <w:p>
      <w:pPr>
        <w:spacing w:after="60" w:before="200"/>
        <w:jc w:val="left"/>
      </w:pPr>
      <w:r>
        <w:rPr>
          <w:rFonts w:ascii="Arial" w:cs="Arial" w:eastAsia="Arial" w:hAnsi="Arial"/>
          <w:b/>
          <w:bCs/>
          <w:caps/>
          <w:color w:val="1A7F8C"/>
          <w:sz w:val="18"/>
          <w:szCs w:val="18"/>
        </w:rPr>
        <w:t xml:space="preserve">Background</w:t>
      </w:r>
    </w:p>
    <w:p>
      <w:pPr>
        <w:spacing w:after="100" w:before="0"/>
        <w:jc w:val="both"/>
      </w:pPr>
      <w:r>
        <w:rPr>
          <w:rFonts w:ascii="Arial" w:cs="Arial" w:eastAsia="Arial" w:hAnsi="Arial"/>
          <w:i w:val="false"/>
          <w:iCs w:val="false"/>
          <w:color w:val="1A2B2E"/>
          <w:sz w:val="22"/>
          <w:szCs w:val="22"/>
        </w:rPr>
        <w:t xml:space="preserve">Healthcare workers (HCWs) in Kenya operate within a chronically under-resourced health system disrupted by devolution, spanning public national and county referral hospitals, faith-based and mission facilities, private for-profit hospitals, NGO-run services, and psychiatric institutions. Globally, landmark large-scale studies — including Gallup's State of the Global Workplace (2024; n=128,000 across 160 countries), the McKinsey Health Institute's research on the Great Attrition (2022), and the United States National Academies of Sciences, Engineering, and Medicine consensus report Taking Action Against Clinician Burnout: A Systems Approach to Professional Well-Being (2019) — have established that workforce psychosocial distress is a work-system failure requiring system-level solutions, not individual remediation. Kenya-specific evidence has not previously been synthesised against this global evidence base, nor translated into a modern, context-appropriate intervention framework.</w:t>
      </w:r>
    </w:p>
    <w:p>
      <w:pPr>
        <w:pBdr>
          <w:bottom w:val="single" w:color="E0E0E0" w:sz="2" w:space="0"/>
        </w:pBdr>
        <w:spacing w:after="0" w:before="120"/>
      </w:pPr>
      <w:r>
        <w:t xml:space="preserve"/>
      </w:r>
    </w:p>
    <w:p>
      <w:pPr>
        <w:spacing w:after="60" w:before="200"/>
        <w:jc w:val="left"/>
      </w:pPr>
      <w:r>
        <w:rPr>
          <w:rFonts w:ascii="Arial" w:cs="Arial" w:eastAsia="Arial" w:hAnsi="Arial"/>
          <w:b/>
          <w:bCs/>
          <w:caps/>
          <w:color w:val="1A7F8C"/>
          <w:sz w:val="18"/>
          <w:szCs w:val="18"/>
        </w:rPr>
        <w:t xml:space="preserve">Objective</w:t>
      </w:r>
    </w:p>
    <w:p>
      <w:pPr>
        <w:spacing w:after="100" w:before="0"/>
        <w:jc w:val="both"/>
      </w:pPr>
      <w:r>
        <w:rPr>
          <w:rFonts w:ascii="Arial" w:cs="Arial" w:eastAsia="Arial" w:hAnsi="Arial"/>
          <w:i w:val="false"/>
          <w:iCs w:val="false"/>
          <w:color w:val="1A2B2E"/>
          <w:sz w:val="22"/>
          <w:szCs w:val="22"/>
        </w:rPr>
        <w:t xml:space="preserve">To synthesise peer-reviewed and grey literature evidence on the psychosocial status of HCWs across all Kenyan hospital types; to contextualise findings within high-calibre global research; and to propose a four-level, evidence-based, trauma-informed organisational intervention framework applicable across public, faith-based, and private Kenyan health facilities.</w:t>
      </w:r>
    </w:p>
    <w:p>
      <w:pPr>
        <w:pBdr>
          <w:bottom w:val="single" w:color="E0E0E0" w:sz="2" w:space="0"/>
        </w:pBdr>
        <w:spacing w:after="0" w:before="120"/>
      </w:pPr>
      <w:r>
        <w:t xml:space="preserve"/>
      </w:r>
    </w:p>
    <w:p>
      <w:pPr>
        <w:spacing w:after="60" w:before="200"/>
        <w:jc w:val="left"/>
      </w:pPr>
      <w:r>
        <w:rPr>
          <w:rFonts w:ascii="Arial" w:cs="Arial" w:eastAsia="Arial" w:hAnsi="Arial"/>
          <w:b/>
          <w:bCs/>
          <w:caps/>
          <w:color w:val="1A7F8C"/>
          <w:sz w:val="18"/>
          <w:szCs w:val="18"/>
        </w:rPr>
        <w:t xml:space="preserve">Methods</w:t>
      </w:r>
    </w:p>
    <w:p>
      <w:pPr>
        <w:spacing w:after="100" w:before="0"/>
        <w:jc w:val="both"/>
      </w:pPr>
      <w:r>
        <w:rPr>
          <w:rFonts w:ascii="Arial" w:cs="Arial" w:eastAsia="Arial" w:hAnsi="Arial"/>
          <w:i w:val="false"/>
          <w:iCs w:val="false"/>
          <w:color w:val="1A2B2E"/>
          <w:sz w:val="22"/>
          <w:szCs w:val="22"/>
        </w:rPr>
        <w:t xml:space="preserve">A narrative literature review was conducted using PubMed, Google Scholar, PsycINFO, CINAHL, and the WHO African Index Medicus, supplemented by grey literature from the Kenya Ministry of Health and KIPPRA. Studies published between 2000 and 2026 were included, prioritising Kenya-specific empirical evidence. High-calibre global institutional reports — from Gallup, McKinsey, the Institute for Healthcare Improvement (IHI), the Substance Abuse and Mental Health Services Administration (SAMHSA), the World Health Organization, and the National Academies — were used to anchor the intervention framework. Narrative synthesis was employed to integrate findings across facility types, cadres, and evidence levels.</w:t>
      </w:r>
    </w:p>
    <w:p>
      <w:pPr>
        <w:pBdr>
          <w:bottom w:val="single" w:color="E0E0E0" w:sz="2" w:space="0"/>
        </w:pBdr>
        <w:spacing w:after="0" w:before="120"/>
      </w:pPr>
      <w:r>
        <w:t xml:space="preserve"/>
      </w:r>
    </w:p>
    <w:p>
      <w:pPr>
        <w:spacing w:after="60" w:before="200"/>
        <w:jc w:val="left"/>
      </w:pPr>
      <w:r>
        <w:rPr>
          <w:rFonts w:ascii="Arial" w:cs="Arial" w:eastAsia="Arial" w:hAnsi="Arial"/>
          <w:b/>
          <w:bCs/>
          <w:caps/>
          <w:color w:val="1A7F8C"/>
          <w:sz w:val="18"/>
          <w:szCs w:val="18"/>
        </w:rPr>
        <w:t xml:space="preserve">Findings</w:t>
      </w:r>
    </w:p>
    <w:p>
      <w:pPr>
        <w:spacing w:after="100" w:before="0"/>
        <w:jc w:val="both"/>
      </w:pPr>
      <w:r>
        <w:rPr>
          <w:rFonts w:ascii="Arial" w:cs="Arial" w:eastAsia="Arial" w:hAnsi="Arial"/>
          <w:i w:val="false"/>
          <w:iCs w:val="false"/>
          <w:color w:val="1A2B2E"/>
          <w:sz w:val="22"/>
          <w:szCs w:val="22"/>
        </w:rPr>
        <w:t xml:space="preserve">Burnout prevalence has been reported as high as 95% in Kenyan hospital samples. A multi-site cross-sectional survey across three major hospitals during the COVID-19 pandemic (Shah et al., 2021; n=433) found depression in 53.6%, anxiety in 44.3%, insomnia in 41.1%, and burnout in 45.8% of respondents. Approximately 75% of nurses in public facilities report low job satisfaction despite permanent employment. Kenyan maternity nurses manage an estimated four to eight obstetric emergencies per shift at ward occupancy rates of 120–150%, with nurse-to-patient ratios reaching 1:30 in emergency settings against a WHO recommended ratio of 1:4. Not a single Kenyan county has a documented post-incident psychological debriefing protocol. Structural drivers — understaffing, devolution-linked remuneration delays, moral injury-generating working conditions, institutional betrayal, and the near-total absence of psychosocial support infrastructure — are consistent across all facility types, including faith-based and private hospitals. These patterns align precisely with McKinsey's finding that toxic organisational culture is ten times more predictive of workforce exit than salary, and with Gallup's measurement that 58% of the global workforce is currently struggling in life and work.</w:t>
      </w:r>
    </w:p>
    <w:p>
      <w:pPr>
        <w:pBdr>
          <w:bottom w:val="single" w:color="E0E0E0" w:sz="2" w:space="0"/>
        </w:pBdr>
        <w:spacing w:after="0" w:before="120"/>
      </w:pPr>
      <w:r>
        <w:t xml:space="preserve"/>
      </w:r>
    </w:p>
    <w:p>
      <w:pPr>
        <w:spacing w:after="60" w:before="200"/>
        <w:jc w:val="left"/>
      </w:pPr>
      <w:r>
        <w:rPr>
          <w:rFonts w:ascii="Arial" w:cs="Arial" w:eastAsia="Arial" w:hAnsi="Arial"/>
          <w:b/>
          <w:bCs/>
          <w:caps/>
          <w:color w:val="1A7F8C"/>
          <w:sz w:val="18"/>
          <w:szCs w:val="18"/>
        </w:rPr>
        <w:t xml:space="preserve">Conclusions</w:t>
      </w:r>
    </w:p>
    <w:p>
      <w:pPr>
        <w:spacing w:after="100" w:before="0"/>
        <w:jc w:val="both"/>
      </w:pPr>
      <w:r>
        <w:rPr>
          <w:rFonts w:ascii="Arial" w:cs="Arial" w:eastAsia="Arial" w:hAnsi="Arial"/>
          <w:i w:val="false"/>
          <w:iCs w:val="false"/>
          <w:color w:val="1A2B2E"/>
          <w:sz w:val="22"/>
          <w:szCs w:val="22"/>
        </w:rPr>
        <w:t xml:space="preserve">Kenya's healthcare workforce carries a heavy, structurally generated psychosocial burden for which no institutional support architecture currently exists. Trauma-informed organisational practice — grounded in SAMHSA's six core principles, the IHI Joy in Work framework, and the National Academies' systems approach — represents the evidence-based intervention model for the Kenyan context. This presentation proposes a phased, four-level modern intervention roadmap spanning individual, team, organisational, and policy levels, contextualised for Kenya's resource environment and applicable across all facility types. The findings directly support the conference theme of building mentally healthy, preventive workplaces as a national priority, and provide an actionable evidence base for hospital management teams, county health departments, and the Ministry of Health.</w:t>
      </w:r>
    </w:p>
    <w:p>
      <w:pPr>
        <w:pBdr>
          <w:bottom w:val="single" w:color="E0E0E0" w:sz="2" w:space="0"/>
        </w:pBdr>
        <w:spacing w:after="0" w:before="120"/>
      </w:pPr>
      <w:r>
        <w:t xml:space="preserve"/>
      </w:r>
    </w:p>
    <w:p>
      <w:pPr>
        <w:spacing w:after="60" w:before="200"/>
        <w:jc w:val="left"/>
      </w:pPr>
      <w:r>
        <w:rPr>
          <w:rFonts w:ascii="Arial" w:cs="Arial" w:eastAsia="Arial" w:hAnsi="Arial"/>
          <w:b/>
          <w:bCs/>
          <w:caps/>
          <w:color w:val="1A7F8C"/>
          <w:sz w:val="18"/>
          <w:szCs w:val="18"/>
        </w:rPr>
        <w:t xml:space="preserve">Keywords</w:t>
      </w:r>
    </w:p>
    <w:p>
      <w:pPr>
        <w:spacing w:after="100" w:before="0"/>
        <w:jc w:val="both"/>
      </w:pPr>
      <w:r>
        <w:rPr>
          <w:rFonts w:ascii="Arial" w:cs="Arial" w:eastAsia="Arial" w:hAnsi="Arial"/>
          <w:i w:val="false"/>
          <w:iCs w:val="false"/>
          <w:color w:val="1A2B2E"/>
          <w:sz w:val="22"/>
          <w:szCs w:val="22"/>
        </w:rPr>
        <w:t xml:space="preserve">Burnout; healthcare workers; psychosocial wellbeing; Kenya; moral injury; secondary traumatic stress; trauma-informed care; job satisfaction; organisational wellbeing; workforce policy; devolution; IHI; Gallup; McKinsey; National Academies</w:t>
      </w:r>
    </w:p>
    <w:p>
      <w:pPr>
        <w:pBdr>
          <w:bottom w:val="single" w:color="E0E0E0" w:sz="2" w:space="0"/>
        </w:pBdr>
        <w:spacing w:after="0" w:before="120"/>
      </w:pPr>
      <w:r>
        <w:t xml:space="preserve"/>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97706" w:sz="6"/>
              <w:left w:val="single" w:color="D97706" w:sz="6"/>
              <w:bottom w:val="single" w:color="D97706" w:sz="6"/>
              <w:right w:val="single" w:color="D97706" w:sz="6"/>
            </w:tcBorders>
            <w:shd w:fill="FFFBF0" w:val="clear"/>
            <w:tcMar>
              <w:top w:type="dxa" w:w="140"/>
              <w:left w:type="dxa" w:w="220"/>
              <w:bottom w:type="dxa" w:w="140"/>
              <w:right w:type="dxa" w:w="220"/>
            </w:tcMar>
          </w:tcPr>
          <w:p>
            <w:pPr>
              <w:spacing w:after="60" w:before="0"/>
              <w:jc w:val="left"/>
            </w:pPr>
            <w:r>
              <w:rPr>
                <w:rFonts w:ascii="Arial" w:cs="Arial" w:eastAsia="Arial" w:hAnsi="Arial"/>
                <w:b/>
                <w:bCs/>
                <w:color w:val="D97706"/>
                <w:sz w:val="19"/>
                <w:szCs w:val="19"/>
              </w:rPr>
              <w:t xml:space="preserve">Note on word count</w:t>
            </w:r>
          </w:p>
          <w:p>
            <w:pPr>
              <w:spacing w:after="120" w:before="0"/>
              <w:jc w:val="both"/>
            </w:pPr>
            <w:r>
              <w:rPr>
                <w:rFonts w:ascii="Arial" w:cs="Arial" w:eastAsia="Arial" w:hAnsi="Arial"/>
                <w:color w:val="1A2B2E"/>
                <w:sz w:val="21"/>
                <w:szCs w:val="21"/>
              </w:rPr>
              <w:t xml:space="preserve">Full structured abstract: 497 words. If the submission portal requires ≤250 words, paste the following condensed version only:
"Kenya's healthcare workers carry a largely unaddressed psychosocial burden. Burnout has been reported in up to 95% of hospital samples; a multi-site COVID-era survey (Shah et al., 2021; n=433) found depression in 53.6% and burnout in 45.8% of respondents. No Kenyan county has a post-incident debriefing protocol. This narrative review (PubMed, PsycINFO, WHO, MoH grey literature; 2000–2026) synthesises evidence across all hospital types — public, faith-based, private, and NGO — and maps findings against landmark global studies including Gallup 2024 (n=128,000), McKinsey's Great Attrition research, the IHI Joy in Work framework, SAMHSA's trauma-informed care model, and the National Academies' systems approach to clinician burnout. Structural drivers — understaffing, devolution disruptions, moral injury, and institutional betrayal — are consistent across all facility types. The review proposes a four-level trauma-informed organisational intervention framework (individual, team, organisational, policy) directly applicable to the Kenyan context and aligned with the conference theme of building mentally healthy, preventive workplaces."</w:t>
            </w:r>
          </w:p>
        </w:tc>
      </w:tr>
    </w:tbl>
    <w:p>
      <w:pPr>
        <w:spacing w:after="80" w:before="80"/>
      </w:pPr>
      <w:r>
        <w:t xml:space="preserve"/>
      </w:r>
    </w:p>
    <w:p>
      <w:pPr>
        <w:spacing w:after="60" w:before="200"/>
        <w:jc w:val="left"/>
      </w:pPr>
      <w:r>
        <w:rPr>
          <w:rFonts w:ascii="Arial" w:cs="Arial" w:eastAsia="Arial" w:hAnsi="Arial"/>
          <w:b/>
          <w:bCs/>
          <w:caps/>
          <w:color w:val="1A7F8C"/>
          <w:sz w:val="18"/>
          <w:szCs w:val="18"/>
        </w:rPr>
        <w:t xml:space="preserve">Key References</w:t>
      </w:r>
    </w:p>
    <w:p>
      <w:pPr>
        <w:spacing w:after="100" w:before="0"/>
        <w:jc w:val="both"/>
      </w:pPr>
      <w:r>
        <w:rPr>
          <w:rFonts w:ascii="Arial" w:cs="Arial" w:eastAsia="Arial" w:hAnsi="Arial"/>
          <w:i w:val="false"/>
          <w:iCs w:val="false"/>
          <w:color w:val="1A2B2E"/>
          <w:sz w:val="22"/>
          <w:szCs w:val="22"/>
        </w:rPr>
        <w:t xml:space="preserve">Gallup. (2024). State of the Global Workplace 2024. Gallup Press.</w:t>
      </w:r>
    </w:p>
    <w:p>
      <w:pPr>
        <w:spacing w:after="100" w:before="0"/>
        <w:jc w:val="both"/>
      </w:pPr>
      <w:r>
        <w:rPr>
          <w:rFonts w:ascii="Arial" w:cs="Arial" w:eastAsia="Arial" w:hAnsi="Arial"/>
          <w:i w:val="false"/>
          <w:iCs w:val="false"/>
          <w:color w:val="1A2B2E"/>
          <w:sz w:val="22"/>
          <w:szCs w:val="22"/>
        </w:rPr>
        <w:t xml:space="preserve">McKinsey Health Institute. (2022). Addressing employee burnout: Are you solving the right problem? McKinsey &amp; Company.</w:t>
      </w:r>
    </w:p>
    <w:p>
      <w:pPr>
        <w:spacing w:after="100" w:before="0"/>
        <w:jc w:val="both"/>
      </w:pPr>
      <w:r>
        <w:rPr>
          <w:rFonts w:ascii="Arial" w:cs="Arial" w:eastAsia="Arial" w:hAnsi="Arial"/>
          <w:i w:val="false"/>
          <w:iCs w:val="false"/>
          <w:color w:val="1A2B2E"/>
          <w:sz w:val="22"/>
          <w:szCs w:val="22"/>
        </w:rPr>
        <w:t xml:space="preserve">National Academies of Sciences, Engineering, and Medicine. (2019). Taking Action Against Clinician Burnout: A Systems Approach to Professional Well-Being. National Academies Press.</w:t>
      </w:r>
    </w:p>
    <w:p>
      <w:pPr>
        <w:spacing w:after="100" w:before="0"/>
        <w:jc w:val="both"/>
      </w:pPr>
      <w:r>
        <w:rPr>
          <w:rFonts w:ascii="Arial" w:cs="Arial" w:eastAsia="Arial" w:hAnsi="Arial"/>
          <w:i w:val="false"/>
          <w:iCs w:val="false"/>
          <w:color w:val="1A2B2E"/>
          <w:sz w:val="22"/>
          <w:szCs w:val="22"/>
        </w:rPr>
        <w:t xml:space="preserve">Perlo J, Balik B, Swensen S, et al. (2017). IHI Framework for Improving Joy in Work. IHI White Paper. Institute for Healthcare Improvement.</w:t>
      </w:r>
    </w:p>
    <w:p>
      <w:pPr>
        <w:spacing w:after="100" w:before="0"/>
        <w:jc w:val="both"/>
      </w:pPr>
      <w:r>
        <w:rPr>
          <w:rFonts w:ascii="Arial" w:cs="Arial" w:eastAsia="Arial" w:hAnsi="Arial"/>
          <w:i w:val="false"/>
          <w:iCs w:val="false"/>
          <w:color w:val="1A2B2E"/>
          <w:sz w:val="22"/>
          <w:szCs w:val="22"/>
        </w:rPr>
        <w:t xml:space="preserve">SAMHSA. (2014). SAMHSA's Concept of Trauma and Guidance for a Trauma-Informed Approach. HHS Publication No. SMA 14-4884.</w:t>
      </w:r>
    </w:p>
    <w:p>
      <w:pPr>
        <w:spacing w:after="100" w:before="0"/>
        <w:jc w:val="both"/>
      </w:pPr>
      <w:r>
        <w:rPr>
          <w:rFonts w:ascii="Arial" w:cs="Arial" w:eastAsia="Arial" w:hAnsi="Arial"/>
          <w:i w:val="false"/>
          <w:iCs w:val="false"/>
          <w:color w:val="1A2B2E"/>
          <w:sz w:val="22"/>
          <w:szCs w:val="22"/>
        </w:rPr>
        <w:t xml:space="preserve">Shah J, Monroe-Wise A, Talib Z, et al. (2021). Mental health disorders among healthcare workers during the COVID-19 pandemic: a cross-sectional survey from three major hospitals in Kenya. BMJ Open, 11(6), e050316.</w:t>
      </w:r>
    </w:p>
    <w:p>
      <w:pPr>
        <w:spacing w:after="100" w:before="0"/>
        <w:jc w:val="both"/>
      </w:pPr>
      <w:r>
        <w:rPr>
          <w:rFonts w:ascii="Arial" w:cs="Arial" w:eastAsia="Arial" w:hAnsi="Arial"/>
          <w:i w:val="false"/>
          <w:iCs w:val="false"/>
          <w:color w:val="1A2B2E"/>
          <w:sz w:val="22"/>
          <w:szCs w:val="22"/>
        </w:rPr>
        <w:t xml:space="preserve">WHO. (2020). Health worker safety: a priority for patient safety. World Patient Safety Day. World Health Organization.</w:t>
      </w:r>
    </w:p>
    <w:p>
      <w:pPr>
        <w:spacing w:after="100" w:before="0"/>
        <w:jc w:val="both"/>
      </w:pPr>
      <w:r>
        <w:rPr>
          <w:rFonts w:ascii="Arial" w:cs="Arial" w:eastAsia="Arial" w:hAnsi="Arial"/>
          <w:i w:val="false"/>
          <w:iCs w:val="false"/>
          <w:color w:val="1A2B2E"/>
          <w:sz w:val="22"/>
          <w:szCs w:val="22"/>
        </w:rPr>
        <w:t xml:space="preserve">Ministry of Health Kenya. (2021). Kenya Mental Health Action Plan 2021–2025. Nairobi: MoH.</w:t>
      </w:r>
    </w:p>
    <w:sectPr>
      <w:headerReference w:type="default" r:id="rId7"/>
      <w:footerReference w:type="default" r:id="rId8"/>
      <w:pgSz w:w="12240" w:h="15840" w:orient="portrait"/>
      <w:pgMar w:top="1260" w:right="126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7F8C" w:sz="3" w:space="4"/>
      </w:pBdr>
      <w:spacing w:after="0" w:before="80"/>
      <w:jc w:val="center"/>
    </w:pPr>
    <w:r>
      <w:rPr>
        <w:rFonts w:ascii="Arial" w:cs="Arial" w:eastAsia="Arial" w:hAnsi="Arial"/>
        <w:color w:val="999999"/>
        <w:sz w:val="17"/>
        <w:szCs w:val="17"/>
      </w:rPr>
      <w:t xml:space="preserve">Benjamin Mutuku Kioko  |  beracahwellnesss@gmail.com  |  0757277501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7F8C" w:sz="3" w:space="4"/>
      </w:pBdr>
      <w:spacing w:after="80" w:before="0"/>
    </w:pPr>
    <w:r>
      <w:rPr>
        <w:rFonts w:ascii="Arial" w:cs="Arial" w:eastAsia="Arial" w:hAnsi="Arial"/>
        <w:color w:val="999999"/>
        <w:sz w:val="17"/>
        <w:szCs w:val="17"/>
      </w:rPr>
      <w:t xml:space="preserve">18th KPA Annual Scientific Conference 2026  |  Diani, Kenya  |  2–4 September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2026-03-14T08:20:24.387Z</dcterms:created>
  <dcterms:modified xsi:type="dcterms:W3CDTF">2026-03-14T08:20:24.389Z</dcterms:modified>
</cp:coreProperties>
</file>

<file path=docProps/custom.xml><?xml version="1.0" encoding="utf-8"?>
<Properties xmlns="http://schemas.openxmlformats.org/officeDocument/2006/custom-properties" xmlns:vt="http://schemas.openxmlformats.org/officeDocument/2006/docPropsVTypes"/>
</file>