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DF3DC" w14:textId="77777777" w:rsidR="009E3D7A" w:rsidRPr="00A3156F" w:rsidRDefault="009E3D7A" w:rsidP="009E3D7A">
      <w:pPr>
        <w:pStyle w:val="NoSpacing"/>
        <w:rPr>
          <w:b/>
          <w:bCs/>
        </w:rPr>
      </w:pPr>
      <w:bookmarkStart w:id="0" w:name="_Hlk179622324"/>
      <w:r w:rsidRPr="00A3156F">
        <w:rPr>
          <w:b/>
          <w:bCs/>
        </w:rPr>
        <w:t>Child and adolescent mental health services and systems in Kenya: A desktop situational analysis</w:t>
      </w:r>
      <w:bookmarkEnd w:id="0"/>
    </w:p>
    <w:p w14:paraId="5F8E1D1C" w14:textId="77777777" w:rsidR="00A3156F" w:rsidRDefault="00A3156F" w:rsidP="00A3156F">
      <w:pPr>
        <w:pStyle w:val="NoSpacing"/>
      </w:pPr>
    </w:p>
    <w:p w14:paraId="0EC6417D" w14:textId="56BC93CF" w:rsidR="00A3156F" w:rsidRPr="00262C70" w:rsidRDefault="00A3156F" w:rsidP="00A3156F">
      <w:pPr>
        <w:pStyle w:val="NoSpacing"/>
        <w:rPr>
          <w:b/>
          <w:bCs/>
          <w:i/>
          <w:iCs/>
        </w:rPr>
      </w:pPr>
      <w:r w:rsidRPr="00262C70">
        <w:rPr>
          <w:b/>
          <w:bCs/>
          <w:i/>
          <w:iCs/>
        </w:rPr>
        <w:t xml:space="preserve">Authors: Sarah Wawa, Petrus J de Vries </w:t>
      </w:r>
    </w:p>
    <w:p w14:paraId="7D5857AC" w14:textId="77777777" w:rsidR="00A3156F" w:rsidRPr="00AC0743" w:rsidRDefault="00A3156F" w:rsidP="00A3156F">
      <w:pPr>
        <w:pStyle w:val="NoSpacing"/>
      </w:pPr>
    </w:p>
    <w:p w14:paraId="4702E2FC" w14:textId="77777777" w:rsidR="00541CB8" w:rsidRPr="00541CB8" w:rsidRDefault="00541CB8" w:rsidP="00541CB8">
      <w:pPr>
        <w:rPr>
          <w:b/>
          <w:bCs/>
          <w:lang w:val="en-US"/>
        </w:rPr>
      </w:pPr>
      <w:r w:rsidRPr="00541CB8">
        <w:rPr>
          <w:b/>
          <w:bCs/>
        </w:rPr>
        <w:t xml:space="preserve">Background: </w:t>
      </w:r>
      <w:r w:rsidRPr="00541CB8">
        <w:t xml:space="preserve">Child and adolescent mental health (CAMH) disorders contribute substantially to morbidity and disability globally, with an estimated prevalence of 10–14% in sub-Saharan Africa. In Kenya, </w:t>
      </w:r>
      <w:r w:rsidRPr="00541CB8">
        <w:rPr>
          <w:lang w:val="en-US"/>
        </w:rPr>
        <w:t>46% of the population (~21.9 million) are under the age of 18, yet little is known about CAMH</w:t>
      </w:r>
      <w:r w:rsidRPr="00541CB8">
        <w:t xml:space="preserve"> services and systems (CAMHSS)</w:t>
      </w:r>
      <w:r w:rsidRPr="00541CB8">
        <w:rPr>
          <w:lang w:val="en-US"/>
        </w:rPr>
        <w:t xml:space="preserve"> in the country. </w:t>
      </w:r>
      <w:r w:rsidRPr="00541CB8">
        <w:t xml:space="preserve">This study </w:t>
      </w:r>
      <w:r w:rsidRPr="00541CB8">
        <w:rPr>
          <w:lang w:val="en-US"/>
        </w:rPr>
        <w:t xml:space="preserve">set out to perform the first situational analysis of CAMHSS in Kenya as </w:t>
      </w:r>
      <w:r w:rsidRPr="00541CB8">
        <w:t xml:space="preserve">a baseline </w:t>
      </w:r>
      <w:r w:rsidRPr="00541CB8">
        <w:rPr>
          <w:lang w:val="en-US"/>
        </w:rPr>
        <w:t>for future CAMHSS strengthening initiatives.</w:t>
      </w:r>
    </w:p>
    <w:p w14:paraId="54CAB450" w14:textId="5482D2E8" w:rsidR="00541CB8" w:rsidRPr="00541CB8" w:rsidRDefault="00541CB8" w:rsidP="00541CB8">
      <w:pPr>
        <w:rPr>
          <w:b/>
          <w:bCs/>
        </w:rPr>
      </w:pPr>
      <w:r w:rsidRPr="00541CB8">
        <w:rPr>
          <w:b/>
          <w:bCs/>
        </w:rPr>
        <w:t xml:space="preserve">Methods: </w:t>
      </w:r>
      <w:r w:rsidRPr="00541CB8">
        <w:t>A desktop situational analysis was conducted using an adapted brief version of the W</w:t>
      </w:r>
      <w:proofErr w:type="spellStart"/>
      <w:r w:rsidRPr="00541CB8">
        <w:rPr>
          <w:lang w:val="en-US"/>
        </w:rPr>
        <w:t>orld</w:t>
      </w:r>
      <w:proofErr w:type="spellEnd"/>
      <w:r w:rsidRPr="00541CB8">
        <w:rPr>
          <w:lang w:val="en-US"/>
        </w:rPr>
        <w:t xml:space="preserve"> </w:t>
      </w:r>
      <w:r w:rsidRPr="00541CB8">
        <w:t>H</w:t>
      </w:r>
      <w:proofErr w:type="spellStart"/>
      <w:r w:rsidRPr="00541CB8">
        <w:rPr>
          <w:lang w:val="en-US"/>
        </w:rPr>
        <w:t>ealth</w:t>
      </w:r>
      <w:proofErr w:type="spellEnd"/>
      <w:r w:rsidRPr="00541CB8">
        <w:rPr>
          <w:lang w:val="en-US"/>
        </w:rPr>
        <w:t xml:space="preserve"> </w:t>
      </w:r>
      <w:r w:rsidRPr="00541CB8">
        <w:t>O</w:t>
      </w:r>
      <w:proofErr w:type="spellStart"/>
      <w:r w:rsidRPr="00541CB8">
        <w:rPr>
          <w:lang w:val="en-US"/>
        </w:rPr>
        <w:t>rganization</w:t>
      </w:r>
      <w:proofErr w:type="spellEnd"/>
      <w:r w:rsidRPr="00541CB8">
        <w:t xml:space="preserve"> Assessment Instrument for Mental Health Systems (WHO-AIMS 2.2), modified to include CAMH-specific variables. Data were obtained from publicly available policy documents, legislation, routine health information systems (KHIS/DHIS2), regulatory bodies, academic publications (2016–2025)</w:t>
      </w:r>
      <w:r w:rsidRPr="00541CB8">
        <w:rPr>
          <w:lang w:val="en-US"/>
        </w:rPr>
        <w:t xml:space="preserve"> and</w:t>
      </w:r>
      <w:r w:rsidRPr="00541CB8">
        <w:t xml:space="preserve"> grey literature, </w:t>
      </w:r>
      <w:r w:rsidRPr="00541CB8">
        <w:rPr>
          <w:lang w:val="en-US"/>
        </w:rPr>
        <w:t>with the support of key CAMHSS stakeholders</w:t>
      </w:r>
      <w:r w:rsidRPr="00541CB8">
        <w:t xml:space="preserve">. </w:t>
      </w:r>
      <w:r w:rsidRPr="00541CB8">
        <w:rPr>
          <w:lang w:val="en-US"/>
        </w:rPr>
        <w:t xml:space="preserve">A narrative </w:t>
      </w:r>
      <w:r w:rsidRPr="00541CB8">
        <w:t xml:space="preserve">synthesis </w:t>
      </w:r>
      <w:r w:rsidRPr="00541CB8">
        <w:rPr>
          <w:lang w:val="en-US"/>
        </w:rPr>
        <w:t xml:space="preserve">was performed </w:t>
      </w:r>
      <w:r w:rsidRPr="00541CB8">
        <w:t xml:space="preserve">across </w:t>
      </w:r>
      <w:r w:rsidRPr="00541CB8">
        <w:rPr>
          <w:lang w:val="en-US"/>
        </w:rPr>
        <w:t xml:space="preserve">the </w:t>
      </w:r>
      <w:r w:rsidRPr="00541CB8">
        <w:t>six WHO-AIMS domains.</w:t>
      </w:r>
      <w:r>
        <w:t xml:space="preserve"> The study was approved by the UCT HREC. </w:t>
      </w:r>
    </w:p>
    <w:p w14:paraId="7F7447EF" w14:textId="3AD6A3EE" w:rsidR="00541CB8" w:rsidRPr="00541CB8" w:rsidRDefault="00541CB8" w:rsidP="00541CB8">
      <w:pPr>
        <w:rPr>
          <w:b/>
          <w:bCs/>
        </w:rPr>
      </w:pPr>
      <w:r w:rsidRPr="00541CB8">
        <w:rPr>
          <w:b/>
          <w:bCs/>
        </w:rPr>
        <w:t xml:space="preserve">Results: </w:t>
      </w:r>
      <w:r w:rsidRPr="00541CB8">
        <w:t>Under Domain 1 (Policy and Legislative Framework), Kenya ha</w:t>
      </w:r>
      <w:r w:rsidRPr="00541CB8">
        <w:rPr>
          <w:lang w:val="en-US"/>
        </w:rPr>
        <w:t>d</w:t>
      </w:r>
      <w:r w:rsidRPr="00541CB8">
        <w:t xml:space="preserve"> no dedicated CAMH policy, plan, budget or coordinating authority</w:t>
      </w:r>
      <w:r w:rsidRPr="00541CB8">
        <w:rPr>
          <w:lang w:val="en-US"/>
        </w:rPr>
        <w:t>. Instead,</w:t>
      </w:r>
      <w:r w:rsidRPr="00541CB8">
        <w:t xml:space="preserve"> CAMH </w:t>
      </w:r>
      <w:r w:rsidRPr="00541CB8">
        <w:rPr>
          <w:lang w:val="en-US"/>
        </w:rPr>
        <w:t>was</w:t>
      </w:r>
      <w:r w:rsidRPr="00541CB8">
        <w:t xml:space="preserve"> embedded within broader mental health and child protection frameworks, with limited documented implementation. In Domain 2 (CAMH Services), outpatient services </w:t>
      </w:r>
      <w:r w:rsidRPr="00541CB8">
        <w:rPr>
          <w:lang w:val="en-US"/>
        </w:rPr>
        <w:t>were</w:t>
      </w:r>
      <w:r w:rsidRPr="00541CB8">
        <w:t xml:space="preserve"> concentrated in a small number of urban referral hospitals, with no dedicated public inpatient CAMH units. Services </w:t>
      </w:r>
      <w:r w:rsidRPr="00541CB8">
        <w:rPr>
          <w:lang w:val="en-US"/>
        </w:rPr>
        <w:t>were</w:t>
      </w:r>
      <w:r w:rsidRPr="00541CB8">
        <w:t xml:space="preserve"> largely delivered by general psychiatrists, and </w:t>
      </w:r>
      <w:r w:rsidRPr="00541CB8">
        <w:rPr>
          <w:lang w:val="en-US"/>
        </w:rPr>
        <w:t xml:space="preserve">availability of </w:t>
      </w:r>
      <w:r w:rsidRPr="00541CB8">
        <w:t xml:space="preserve">medication in public facilities </w:t>
      </w:r>
      <w:r w:rsidRPr="00541CB8">
        <w:rPr>
          <w:lang w:val="en-US"/>
        </w:rPr>
        <w:t>was</w:t>
      </w:r>
      <w:r w:rsidRPr="00541CB8">
        <w:t xml:space="preserve"> inconsistent. For Domain 3 (CAMH in Primary Healthcare), integration occur</w:t>
      </w:r>
      <w:r w:rsidRPr="00541CB8">
        <w:rPr>
          <w:lang w:val="en-US"/>
        </w:rPr>
        <w:t>ed</w:t>
      </w:r>
      <w:r w:rsidRPr="00541CB8">
        <w:t xml:space="preserve"> mainly through mhGAP training</w:t>
      </w:r>
      <w:r w:rsidRPr="00541CB8">
        <w:rPr>
          <w:lang w:val="en-US"/>
        </w:rPr>
        <w:t xml:space="preserve">; </w:t>
      </w:r>
      <w:r w:rsidRPr="00541CB8">
        <w:t xml:space="preserve">structured CAMH-specific supervision and monitoring </w:t>
      </w:r>
      <w:r w:rsidRPr="00541CB8">
        <w:rPr>
          <w:lang w:val="en-US"/>
        </w:rPr>
        <w:t>was</w:t>
      </w:r>
      <w:r w:rsidRPr="00541CB8">
        <w:t xml:space="preserve"> limited. Domain 4 (Human Resources) revealed limited specialist CAMH training across </w:t>
      </w:r>
      <w:r w:rsidRPr="00541CB8">
        <w:rPr>
          <w:lang w:val="en-US"/>
        </w:rPr>
        <w:t>professional groups and identified only three specialist child &amp; adolescent psychiatrists nationally</w:t>
      </w:r>
      <w:r w:rsidRPr="00541CB8">
        <w:t>. Domain 5 (Public Education and Intersectoral Collaboration)</w:t>
      </w:r>
      <w:r w:rsidRPr="00541CB8">
        <w:rPr>
          <w:lang w:val="en-US"/>
        </w:rPr>
        <w:t xml:space="preserve"> identified a handful of</w:t>
      </w:r>
      <w:r w:rsidRPr="00541CB8">
        <w:t xml:space="preserve"> project-based and fragmented</w:t>
      </w:r>
      <w:r w:rsidRPr="00541CB8">
        <w:rPr>
          <w:lang w:val="en-US"/>
        </w:rPr>
        <w:t xml:space="preserve"> initiatives</w:t>
      </w:r>
      <w:r w:rsidRPr="00541CB8">
        <w:t>. Domain 6 (Monitoring and Research)</w:t>
      </w:r>
      <w:r w:rsidRPr="00541CB8">
        <w:rPr>
          <w:lang w:val="en-US"/>
        </w:rPr>
        <w:t xml:space="preserve"> identified </w:t>
      </w:r>
      <w:r w:rsidR="0036154E">
        <w:rPr>
          <w:lang w:val="en-US"/>
        </w:rPr>
        <w:t xml:space="preserve">172 </w:t>
      </w:r>
      <w:r w:rsidRPr="00541CB8">
        <w:rPr>
          <w:lang w:val="en-US"/>
        </w:rPr>
        <w:t>CAMHSS publications from Kenya, but</w:t>
      </w:r>
      <w:r w:rsidRPr="00541CB8">
        <w:t xml:space="preserve"> routine data systems inadequately capture</w:t>
      </w:r>
      <w:r w:rsidRPr="00541CB8">
        <w:rPr>
          <w:lang w:val="en-US"/>
        </w:rPr>
        <w:t>d</w:t>
      </w:r>
      <w:r w:rsidRPr="00541CB8">
        <w:t xml:space="preserve"> CAMH indicators</w:t>
      </w:r>
      <w:r w:rsidRPr="00541CB8">
        <w:rPr>
          <w:lang w:val="en-US"/>
        </w:rPr>
        <w:t>.</w:t>
      </w:r>
    </w:p>
    <w:p w14:paraId="2AF8AB17" w14:textId="340F2E4E" w:rsidR="00541CB8" w:rsidRPr="00541CB8" w:rsidRDefault="00541CB8" w:rsidP="00541CB8">
      <w:r w:rsidRPr="00541CB8">
        <w:rPr>
          <w:b/>
          <w:bCs/>
        </w:rPr>
        <w:t>Conclusion</w:t>
      </w:r>
      <w:r w:rsidRPr="00541CB8">
        <w:rPr>
          <w:b/>
          <w:bCs/>
          <w:lang w:val="en-US"/>
        </w:rPr>
        <w:t>s</w:t>
      </w:r>
      <w:r w:rsidRPr="00541CB8">
        <w:rPr>
          <w:b/>
          <w:bCs/>
        </w:rPr>
        <w:t xml:space="preserve">: </w:t>
      </w:r>
      <w:r w:rsidRPr="00541CB8">
        <w:t xml:space="preserve">Despite existing policy and legislative foundations and a growing research base, substantial gaps </w:t>
      </w:r>
      <w:r w:rsidRPr="00541CB8">
        <w:rPr>
          <w:lang w:val="en-US"/>
        </w:rPr>
        <w:t xml:space="preserve">remain </w:t>
      </w:r>
      <w:r w:rsidRPr="00541CB8">
        <w:t>in governance, service delivery, workforce capacity, primary care integration, and monitoring</w:t>
      </w:r>
      <w:r w:rsidRPr="00541CB8">
        <w:rPr>
          <w:lang w:val="en-US"/>
        </w:rPr>
        <w:t xml:space="preserve"> of CAMHSS in Kenya</w:t>
      </w:r>
      <w:r w:rsidRPr="00541CB8">
        <w:t xml:space="preserve">. Coordinated national and county-level investment and explicit CAMH-focused strategies are required to translate policy intent into equitable, </w:t>
      </w:r>
      <w:r w:rsidR="0011159D" w:rsidRPr="00541CB8">
        <w:t>developmentally</w:t>
      </w:r>
      <w:r w:rsidR="0011159D" w:rsidRPr="00541CB8">
        <w:rPr>
          <w:lang w:val="en-US"/>
        </w:rPr>
        <w:t xml:space="preserve"> appropriate</w:t>
      </w:r>
      <w:r w:rsidRPr="00541CB8">
        <w:t xml:space="preserve"> CAMH care in Kenya.</w:t>
      </w:r>
    </w:p>
    <w:p w14:paraId="20C85039" w14:textId="77777777" w:rsidR="00541CB8" w:rsidRPr="00541CB8" w:rsidRDefault="00541CB8" w:rsidP="00541CB8">
      <w:r w:rsidRPr="00541CB8">
        <w:rPr>
          <w:b/>
          <w:bCs/>
        </w:rPr>
        <w:t>Keywords</w:t>
      </w:r>
      <w:r w:rsidRPr="00541CB8">
        <w:t>: Situational analysis, WHO-AIMS, Child, Adolescent, Mental health, Services, Kenya, Low- and middle- income countries, LMIC</w:t>
      </w:r>
    </w:p>
    <w:p w14:paraId="14E3578A" w14:textId="77777777" w:rsidR="00132469" w:rsidRDefault="00132469"/>
    <w:sectPr w:rsidR="001324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CB8"/>
    <w:rsid w:val="0011159D"/>
    <w:rsid w:val="00132469"/>
    <w:rsid w:val="0021272D"/>
    <w:rsid w:val="00262C70"/>
    <w:rsid w:val="0036154E"/>
    <w:rsid w:val="00507ACC"/>
    <w:rsid w:val="00541CB8"/>
    <w:rsid w:val="009E3D7A"/>
    <w:rsid w:val="00A3156F"/>
    <w:rsid w:val="00B34985"/>
    <w:rsid w:val="00C01B51"/>
    <w:rsid w:val="00D83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3A491"/>
  <w15:chartTrackingRefBased/>
  <w15:docId w15:val="{7A7B1616-FC86-4D2C-8D35-16C4494F2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K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1C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1C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1C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1C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1C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1C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1C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1C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1C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1C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1C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1C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1C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1C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1C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1C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1C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1C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1C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1C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1C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1C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1C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1C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1C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1C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1C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1C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1CB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3156F"/>
    <w:pPr>
      <w:spacing w:after="0" w:line="240" w:lineRule="auto"/>
    </w:pPr>
    <w:rPr>
      <w:lang w:val="en-K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485</Words>
  <Characters>2430</Characters>
  <Application>Microsoft Office Word</Application>
  <DocSecurity>0</DocSecurity>
  <Lines>162</Lines>
  <Paragraphs>182</Paragraphs>
  <ScaleCrop>false</ScaleCrop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Kombo</dc:creator>
  <cp:keywords/>
  <dc:description/>
  <cp:lastModifiedBy>Sarah Kombo</cp:lastModifiedBy>
  <cp:revision>8</cp:revision>
  <dcterms:created xsi:type="dcterms:W3CDTF">2026-04-24T10:51:00Z</dcterms:created>
  <dcterms:modified xsi:type="dcterms:W3CDTF">2026-04-24T11:00:00Z</dcterms:modified>
</cp:coreProperties>
</file>